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3A" w:rsidRDefault="0051673A">
      <w:pPr>
        <w:suppressAutoHyphens w:val="0"/>
      </w:pPr>
      <w:r>
        <w:t>References supplemental information</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fldChar w:fldCharType="begin" w:fldLock="1"/>
      </w:r>
      <w:r>
        <w:instrText xml:space="preserve">ADDIN Mendeley Bibliography CSL_BIBLIOGRAPHY </w:instrText>
      </w:r>
      <w:r>
        <w:fldChar w:fldCharType="separate"/>
      </w:r>
      <w:r w:rsidRPr="0051673A">
        <w:rPr>
          <w:rFonts w:ascii="Calibri" w:hAnsi="Calibri" w:cs="Calibri"/>
          <w:noProof/>
          <w:szCs w:val="24"/>
        </w:rPr>
        <w:t>Bache, S. M., &amp; Wickham, H. (2020). magrittr: A Forward-Pipe Operator for R. Retrieved from https://cran.r-project.org/package=magrittr</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Barton, K. (2019). MuMIn: Multi-Model Inference. Retrieved from https://cran.r-project.org/package=MuMIn</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Bates, D., Mächler, M., Bolker, B. M., &amp; Walker, S. C. (2015). Fitting linear mixed-effects models using lme4. </w:t>
      </w:r>
      <w:r w:rsidRPr="0051673A">
        <w:rPr>
          <w:rFonts w:ascii="Calibri" w:hAnsi="Calibri" w:cs="Calibri"/>
          <w:i/>
          <w:iCs/>
          <w:noProof/>
          <w:szCs w:val="24"/>
        </w:rPr>
        <w:t>Journal of Statistical Software</w:t>
      </w:r>
      <w:r w:rsidRPr="0051673A">
        <w:rPr>
          <w:rFonts w:ascii="Calibri" w:hAnsi="Calibri" w:cs="Calibri"/>
          <w:noProof/>
          <w:szCs w:val="24"/>
        </w:rPr>
        <w:t xml:space="preserve">, </w:t>
      </w:r>
      <w:r w:rsidRPr="0051673A">
        <w:rPr>
          <w:rFonts w:ascii="Calibri" w:hAnsi="Calibri" w:cs="Calibri"/>
          <w:i/>
          <w:iCs/>
          <w:noProof/>
          <w:szCs w:val="24"/>
        </w:rPr>
        <w:t>67</w:t>
      </w:r>
      <w:r w:rsidRPr="0051673A">
        <w:rPr>
          <w:rFonts w:ascii="Calibri" w:hAnsi="Calibri" w:cs="Calibri"/>
          <w:noProof/>
          <w:szCs w:val="24"/>
        </w:rPr>
        <w:t>(1), v1.1-21. https://doi.org/10.18637/jss.v067.i01</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Bürkner, P. C. (2017). brms: An R package for Bayesian multilevel models using Stan. </w:t>
      </w:r>
      <w:r w:rsidRPr="0051673A">
        <w:rPr>
          <w:rFonts w:ascii="Calibri" w:hAnsi="Calibri" w:cs="Calibri"/>
          <w:i/>
          <w:iCs/>
          <w:noProof/>
          <w:szCs w:val="24"/>
        </w:rPr>
        <w:t>Journal of Statistical Software</w:t>
      </w:r>
      <w:r w:rsidRPr="0051673A">
        <w:rPr>
          <w:rFonts w:ascii="Calibri" w:hAnsi="Calibri" w:cs="Calibri"/>
          <w:noProof/>
          <w:szCs w:val="24"/>
        </w:rPr>
        <w:t xml:space="preserve">, </w:t>
      </w:r>
      <w:r w:rsidRPr="0051673A">
        <w:rPr>
          <w:rFonts w:ascii="Calibri" w:hAnsi="Calibri" w:cs="Calibri"/>
          <w:i/>
          <w:iCs/>
          <w:noProof/>
          <w:szCs w:val="24"/>
        </w:rPr>
        <w:t>80</w:t>
      </w:r>
      <w:r w:rsidRPr="0051673A">
        <w:rPr>
          <w:rFonts w:ascii="Calibri" w:hAnsi="Calibri" w:cs="Calibri"/>
          <w:noProof/>
          <w:szCs w:val="24"/>
        </w:rPr>
        <w:t>(1), v2.14.4. https://doi.org/10.18637/jss.v080.i01</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Gary, J., &amp; Mahr, T. (2021). bayesplot: Plotting for Bayesian Models. Retrieved from https://mc-stan.org/bayesplot/</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Gohel, D. (2020). rvg: R Graphics Devices for Vector Graphics Output. Retrieved from https://cran.r-project.org/package=rvg</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Gohel, D. (2021). officer: Manipulation of Microsoft Word and PowerPoint Documents. Retrieved from https://cran.r-project.org/package=officer</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Johnson, P. E. (2019). rockchalk: Regression Estimation and Presentation. Retrieved from https://cran.r-project.org/package=rockchalk</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Kassambara, A. (2020). ggpubr: “ggplot2” Based Publication Ready Plots. Retrieved from https://cran.r-project.org/package=ggpubr</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Kuznetsova, A., Brockhoff, P. B., &amp; Christensen, R. H. B. (2017). lmerTest Package: Tests in Linear Mixed Effects Models. </w:t>
      </w:r>
      <w:r w:rsidRPr="0051673A">
        <w:rPr>
          <w:rFonts w:ascii="Calibri" w:hAnsi="Calibri" w:cs="Calibri"/>
          <w:i/>
          <w:iCs/>
          <w:noProof/>
          <w:szCs w:val="24"/>
        </w:rPr>
        <w:t>Journal of Statistical Software</w:t>
      </w:r>
      <w:r w:rsidRPr="0051673A">
        <w:rPr>
          <w:rFonts w:ascii="Calibri" w:hAnsi="Calibri" w:cs="Calibri"/>
          <w:noProof/>
          <w:szCs w:val="24"/>
        </w:rPr>
        <w:t xml:space="preserve">, </w:t>
      </w:r>
      <w:r w:rsidRPr="0051673A">
        <w:rPr>
          <w:rFonts w:ascii="Calibri" w:hAnsi="Calibri" w:cs="Calibri"/>
          <w:i/>
          <w:iCs/>
          <w:noProof/>
          <w:szCs w:val="24"/>
        </w:rPr>
        <w:t>82</w:t>
      </w:r>
      <w:r w:rsidRPr="0051673A">
        <w:rPr>
          <w:rFonts w:ascii="Calibri" w:hAnsi="Calibri" w:cs="Calibri"/>
          <w:noProof/>
          <w:szCs w:val="24"/>
        </w:rPr>
        <w:t>(13), v3.1-0. https://doi.org/10.18637/jss.v082.i13</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Lenth, R. V. (2020). emmeans: Estimated Marginal Means, aka Least-Squares Means. Retrieved from https://cran.r-project.org/package=emmeans</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Makowski, D., Ben-Shachar, M. S., &amp; Lüdecke, D. (2019). bayestestR: Describing Effects and their Uncertainty, Existence and Significance within the Bayesian Framework. </w:t>
      </w:r>
      <w:r w:rsidRPr="0051673A">
        <w:rPr>
          <w:rFonts w:ascii="Calibri" w:hAnsi="Calibri" w:cs="Calibri"/>
          <w:i/>
          <w:iCs/>
          <w:noProof/>
          <w:szCs w:val="24"/>
        </w:rPr>
        <w:t>Journal of Open Source Software</w:t>
      </w:r>
      <w:r w:rsidRPr="0051673A">
        <w:rPr>
          <w:rFonts w:ascii="Calibri" w:hAnsi="Calibri" w:cs="Calibri"/>
          <w:noProof/>
          <w:szCs w:val="24"/>
        </w:rPr>
        <w:t xml:space="preserve">, </w:t>
      </w:r>
      <w:r w:rsidRPr="0051673A">
        <w:rPr>
          <w:rFonts w:ascii="Calibri" w:hAnsi="Calibri" w:cs="Calibri"/>
          <w:i/>
          <w:iCs/>
          <w:noProof/>
          <w:szCs w:val="24"/>
        </w:rPr>
        <w:t>4</w:t>
      </w:r>
      <w:r w:rsidRPr="0051673A">
        <w:rPr>
          <w:rFonts w:ascii="Calibri" w:hAnsi="Calibri" w:cs="Calibri"/>
          <w:noProof/>
          <w:szCs w:val="24"/>
        </w:rPr>
        <w:t>(40), 1541. https://doi.org/10.21105/joss.01541</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Ripley, B., &amp; Lapsley, M. (2020). RODBC: ODBC Database Access. Retrieved from https://cran.r-project.org/package=RODBC</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van Buuren, S., &amp; Groothuis-Oudshoorn, K. (2011). mice: Multivariate imputation by chained equations in R. </w:t>
      </w:r>
      <w:r w:rsidRPr="0051673A">
        <w:rPr>
          <w:rFonts w:ascii="Calibri" w:hAnsi="Calibri" w:cs="Calibri"/>
          <w:i/>
          <w:iCs/>
          <w:noProof/>
          <w:szCs w:val="24"/>
        </w:rPr>
        <w:t>Journal of Statistical Software</w:t>
      </w:r>
      <w:r w:rsidRPr="0051673A">
        <w:rPr>
          <w:rFonts w:ascii="Calibri" w:hAnsi="Calibri" w:cs="Calibri"/>
          <w:noProof/>
          <w:szCs w:val="24"/>
        </w:rPr>
        <w:t xml:space="preserve">, </w:t>
      </w:r>
      <w:r w:rsidRPr="0051673A">
        <w:rPr>
          <w:rFonts w:ascii="Calibri" w:hAnsi="Calibri" w:cs="Calibri"/>
          <w:i/>
          <w:iCs/>
          <w:noProof/>
          <w:szCs w:val="24"/>
        </w:rPr>
        <w:t>45</w:t>
      </w:r>
      <w:r w:rsidRPr="0051673A">
        <w:rPr>
          <w:rFonts w:ascii="Calibri" w:hAnsi="Calibri" w:cs="Calibri"/>
          <w:noProof/>
          <w:szCs w:val="24"/>
        </w:rPr>
        <w:t>(3), 1–67. https://doi.org/10.18637/jss.v045.i03</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szCs w:val="24"/>
        </w:rPr>
      </w:pPr>
      <w:r w:rsidRPr="0051673A">
        <w:rPr>
          <w:rFonts w:ascii="Calibri" w:hAnsi="Calibri" w:cs="Calibri"/>
          <w:noProof/>
          <w:szCs w:val="24"/>
        </w:rPr>
        <w:t xml:space="preserve">Wickham, H. (2016). </w:t>
      </w:r>
      <w:r w:rsidRPr="0051673A">
        <w:rPr>
          <w:rFonts w:ascii="Calibri" w:hAnsi="Calibri" w:cs="Calibri"/>
          <w:i/>
          <w:iCs/>
          <w:noProof/>
          <w:szCs w:val="24"/>
        </w:rPr>
        <w:t>ggplot2: Elegant Graphics for Data Analysis</w:t>
      </w:r>
      <w:r w:rsidRPr="0051673A">
        <w:rPr>
          <w:rFonts w:ascii="Calibri" w:hAnsi="Calibri" w:cs="Calibri"/>
          <w:noProof/>
          <w:szCs w:val="24"/>
        </w:rPr>
        <w:t>. Retrieved from https://ggplot2.tidyverse.org</w:t>
      </w:r>
    </w:p>
    <w:p w:rsidR="0051673A" w:rsidRPr="0051673A" w:rsidRDefault="0051673A" w:rsidP="0051673A">
      <w:pPr>
        <w:widowControl w:val="0"/>
        <w:autoSpaceDE w:val="0"/>
        <w:autoSpaceDN w:val="0"/>
        <w:adjustRightInd w:val="0"/>
        <w:spacing w:line="240" w:lineRule="auto"/>
        <w:ind w:left="480" w:hanging="480"/>
        <w:rPr>
          <w:rFonts w:ascii="Calibri" w:hAnsi="Calibri" w:cs="Calibri"/>
          <w:noProof/>
        </w:rPr>
      </w:pPr>
      <w:r w:rsidRPr="0051673A">
        <w:rPr>
          <w:rFonts w:ascii="Calibri" w:hAnsi="Calibri" w:cs="Calibri"/>
          <w:noProof/>
          <w:szCs w:val="24"/>
        </w:rPr>
        <w:t>Yu, G. (2020). ggplotify: Convert Plot to “grob” or “ggplot” Object. Retrieved from https://cran.r-project.org/package=ggplotify</w:t>
      </w:r>
    </w:p>
    <w:p w:rsidR="0051673A" w:rsidRDefault="0051673A">
      <w:pPr>
        <w:suppressAutoHyphens w:val="0"/>
        <w:rPr>
          <w:rFonts w:asciiTheme="majorHAnsi" w:eastAsiaTheme="majorEastAsia" w:hAnsiTheme="majorHAnsi" w:cstheme="majorBidi"/>
          <w:color w:val="2E74B5" w:themeColor="accent1" w:themeShade="BF"/>
          <w:sz w:val="26"/>
          <w:szCs w:val="26"/>
          <w:lang w:val="en-GB"/>
        </w:rPr>
      </w:pPr>
      <w:r>
        <w:fldChar w:fldCharType="end"/>
      </w:r>
      <w:r>
        <w:br w:type="page"/>
      </w:r>
    </w:p>
    <w:p w:rsidR="0051673A" w:rsidRPr="001C5550" w:rsidRDefault="0051673A" w:rsidP="0051673A">
      <w:pPr>
        <w:pStyle w:val="Heading2"/>
        <w:rPr>
          <w:rFonts w:cstheme="minorBidi"/>
          <w:lang w:val="en-US"/>
        </w:rPr>
      </w:pPr>
      <w:r w:rsidRPr="000A4EE6">
        <w:lastRenderedPageBreak/>
        <w:t>Supplemental tables and figures</w:t>
      </w:r>
    </w:p>
    <w:p w:rsidR="0051673A" w:rsidRPr="001C5550" w:rsidRDefault="0051673A" w:rsidP="0051673A">
      <w:pPr>
        <w:pStyle w:val="Caption"/>
        <w:keepNext/>
        <w:rPr>
          <w:rFonts w:ascii="Times New Roman" w:hAnsi="Times New Roman" w:cs="Times New Roman"/>
          <w:i w:val="0"/>
          <w:sz w:val="24"/>
          <w:szCs w:val="24"/>
          <w:lang w:val="en-US"/>
        </w:rPr>
      </w:pPr>
      <w:r w:rsidRPr="001C5550">
        <w:rPr>
          <w:rFonts w:ascii="Times New Roman" w:hAnsi="Times New Roman" w:cs="Times New Roman"/>
          <w:i w:val="0"/>
          <w:sz w:val="24"/>
          <w:szCs w:val="24"/>
          <w:lang w:val="en-US"/>
        </w:rPr>
        <w:t>Table S</w:t>
      </w:r>
      <w:r w:rsidRPr="001C5550">
        <w:rPr>
          <w:rFonts w:ascii="Times New Roman" w:hAnsi="Times New Roman" w:cs="Times New Roman"/>
          <w:i w:val="0"/>
          <w:sz w:val="24"/>
          <w:szCs w:val="24"/>
          <w:lang w:val="en-US"/>
        </w:rPr>
        <w:fldChar w:fldCharType="begin"/>
      </w:r>
      <w:r w:rsidRPr="001C5550">
        <w:rPr>
          <w:rFonts w:ascii="Times New Roman" w:hAnsi="Times New Roman" w:cs="Times New Roman"/>
          <w:i w:val="0"/>
          <w:sz w:val="24"/>
          <w:szCs w:val="24"/>
          <w:lang w:val="en-US"/>
        </w:rPr>
        <w:instrText xml:space="preserve"> SEQ Table_S \* ARABIC </w:instrText>
      </w:r>
      <w:r w:rsidRPr="001C5550">
        <w:rPr>
          <w:rFonts w:ascii="Times New Roman" w:hAnsi="Times New Roman" w:cs="Times New Roman"/>
          <w:i w:val="0"/>
          <w:sz w:val="24"/>
          <w:szCs w:val="24"/>
          <w:lang w:val="en-US"/>
        </w:rPr>
        <w:fldChar w:fldCharType="separate"/>
      </w:r>
      <w:r w:rsidRPr="001C5550">
        <w:rPr>
          <w:rFonts w:ascii="Times New Roman" w:hAnsi="Times New Roman" w:cs="Times New Roman"/>
          <w:i w:val="0"/>
          <w:sz w:val="24"/>
          <w:szCs w:val="24"/>
          <w:lang w:val="en-US"/>
        </w:rPr>
        <w:t>1</w:t>
      </w:r>
      <w:r w:rsidRPr="001C5550">
        <w:rPr>
          <w:rFonts w:ascii="Times New Roman" w:hAnsi="Times New Roman" w:cs="Times New Roman"/>
          <w:i w:val="0"/>
          <w:sz w:val="24"/>
          <w:szCs w:val="24"/>
          <w:lang w:val="en-US"/>
        </w:rPr>
        <w:fldChar w:fldCharType="end"/>
      </w:r>
      <w:r w:rsidRPr="001C5550">
        <w:rPr>
          <w:rFonts w:ascii="Times New Roman" w:hAnsi="Times New Roman" w:cs="Times New Roman"/>
          <w:i w:val="0"/>
          <w:sz w:val="24"/>
          <w:szCs w:val="24"/>
          <w:lang w:val="en-US"/>
        </w:rPr>
        <w:t xml:space="preserve"> Overview of packages used in R.</w:t>
      </w:r>
    </w:p>
    <w:tbl>
      <w:tblPr>
        <w:tblStyle w:val="TableGrid"/>
        <w:tblW w:w="8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1977"/>
        <w:gridCol w:w="4140"/>
      </w:tblGrid>
      <w:tr w:rsidR="0051673A" w:rsidRPr="000A4EE6" w:rsidTr="0051673A">
        <w:trPr>
          <w:trHeight w:val="411"/>
        </w:trPr>
        <w:tc>
          <w:tcPr>
            <w:tcW w:w="2522" w:type="dxa"/>
            <w:tcBorders>
              <w:bottom w:val="single" w:sz="4" w:space="0" w:color="auto"/>
            </w:tcBorders>
          </w:tcPr>
          <w:p w:rsidR="0051673A" w:rsidRPr="000A4EE6" w:rsidRDefault="0051673A" w:rsidP="00F54EA9">
            <w:pPr>
              <w:suppressAutoHyphens w:val="0"/>
              <w:spacing w:line="360" w:lineRule="auto"/>
              <w:rPr>
                <w:rFonts w:cstheme="minorHAnsi"/>
                <w:b/>
              </w:rPr>
            </w:pPr>
            <w:r w:rsidRPr="00015F0F">
              <w:rPr>
                <w:b/>
                <w:color w:val="000000"/>
                <w:kern w:val="24"/>
              </w:rPr>
              <w:t>Package</w:t>
            </w:r>
          </w:p>
        </w:tc>
        <w:tc>
          <w:tcPr>
            <w:tcW w:w="1977" w:type="dxa"/>
            <w:tcBorders>
              <w:bottom w:val="single" w:sz="4" w:space="0" w:color="auto"/>
            </w:tcBorders>
          </w:tcPr>
          <w:p w:rsidR="0051673A" w:rsidRPr="000A4EE6" w:rsidRDefault="0051673A" w:rsidP="00F54EA9">
            <w:pPr>
              <w:suppressAutoHyphens w:val="0"/>
              <w:spacing w:line="360" w:lineRule="auto"/>
              <w:rPr>
                <w:rFonts w:cstheme="minorHAnsi"/>
                <w:b/>
              </w:rPr>
            </w:pPr>
            <w:r w:rsidRPr="00015F0F">
              <w:rPr>
                <w:b/>
                <w:color w:val="000000"/>
                <w:kern w:val="24"/>
              </w:rPr>
              <w:t>Version</w:t>
            </w:r>
          </w:p>
        </w:tc>
        <w:tc>
          <w:tcPr>
            <w:tcW w:w="4140" w:type="dxa"/>
            <w:tcBorders>
              <w:bottom w:val="single" w:sz="4" w:space="0" w:color="auto"/>
            </w:tcBorders>
          </w:tcPr>
          <w:p w:rsidR="0051673A" w:rsidRPr="000A4EE6" w:rsidRDefault="0051673A" w:rsidP="00F54EA9">
            <w:pPr>
              <w:suppressAutoHyphens w:val="0"/>
              <w:spacing w:line="360" w:lineRule="auto"/>
              <w:rPr>
                <w:rFonts w:cstheme="minorHAnsi"/>
                <w:b/>
              </w:rPr>
            </w:pPr>
            <w:r w:rsidRPr="00015F0F">
              <w:rPr>
                <w:b/>
                <w:color w:val="000000"/>
                <w:kern w:val="24"/>
              </w:rPr>
              <w:t>Reference</w:t>
            </w:r>
          </w:p>
        </w:tc>
      </w:tr>
      <w:tr w:rsidR="0051673A" w:rsidRPr="000A4EE6" w:rsidTr="0051673A">
        <w:trPr>
          <w:trHeight w:val="114"/>
        </w:trPr>
        <w:tc>
          <w:tcPr>
            <w:tcW w:w="2522" w:type="dxa"/>
            <w:tcBorders>
              <w:top w:val="single" w:sz="4" w:space="0" w:color="auto"/>
            </w:tcBorders>
          </w:tcPr>
          <w:p w:rsidR="0051673A" w:rsidRPr="00015F0F" w:rsidRDefault="0051673A" w:rsidP="00F54EA9">
            <w:pPr>
              <w:suppressAutoHyphens w:val="0"/>
              <w:spacing w:line="360" w:lineRule="auto"/>
              <w:rPr>
                <w:color w:val="000000"/>
                <w:kern w:val="24"/>
              </w:rPr>
            </w:pPr>
            <w:r w:rsidRPr="00015F0F">
              <w:rPr>
                <w:color w:val="000000"/>
                <w:kern w:val="24"/>
              </w:rPr>
              <w:t>bayesplot</w:t>
            </w:r>
          </w:p>
        </w:tc>
        <w:tc>
          <w:tcPr>
            <w:tcW w:w="1977" w:type="dxa"/>
            <w:tcBorders>
              <w:top w:val="single" w:sz="4" w:space="0" w:color="auto"/>
            </w:tcBorders>
          </w:tcPr>
          <w:p w:rsidR="0051673A" w:rsidRPr="00015F0F" w:rsidRDefault="0051673A" w:rsidP="00F54EA9">
            <w:pPr>
              <w:suppressAutoHyphens w:val="0"/>
              <w:spacing w:line="360" w:lineRule="auto"/>
            </w:pPr>
            <w:r w:rsidRPr="00015F0F">
              <w:t>1.8.0</w:t>
            </w:r>
          </w:p>
        </w:tc>
        <w:tc>
          <w:tcPr>
            <w:tcW w:w="4140" w:type="dxa"/>
            <w:tcBorders>
              <w:top w:val="single" w:sz="4" w:space="0" w:color="auto"/>
            </w:tcBorders>
          </w:tcPr>
          <w:p w:rsidR="0051673A" w:rsidRPr="00015F0F" w:rsidRDefault="0051673A" w:rsidP="00F54EA9">
            <w:pPr>
              <w:suppressAutoHyphens w:val="0"/>
              <w:spacing w:line="360" w:lineRule="auto"/>
            </w:pPr>
            <w:r w:rsidRPr="00015F0F">
              <w:fldChar w:fldCharType="begin" w:fldLock="1"/>
            </w:r>
            <w:r>
              <w:instrText>ADDIN CSL_CITATION {"citationItems":[{"id":"ITEM-1","itemData":{"URL":"https://mc-stan.org/bayesplot/","author":[{"dropping-particle":"","family":"Gary","given":"J.","non-dropping-particle":"","parse-names":false,"suffix":""},{"dropping-particle":"","family":"Mahr","given":"T.","non-dropping-particle":"","parse-names":false,"suffix":""}],"id":"ITEM-1","issued":{"date-parts":[["2021"]]},"page":"v1.8.0","title":"bayesplot: Plotting for Bayesian Models","type":"webpage"},"uris":["http://www.mendeley.com/documents/?uuid=4f12c140-6cb4-4f7c-9935-819ddcc23798"]}],"mendeley":{"formattedCitation":"(Gary &amp; Mahr, 2021)","plainTextFormattedCitation":"(Gary &amp; Mahr, 2021)","previouslyFormattedCitation":"(Gary and Mahr, 2021)"},"properties":{"noteIndex":0},"schema":"https://github.com/citation-style-language/schema/raw/master/csl-citation.json"}</w:instrText>
            </w:r>
            <w:r w:rsidRPr="00015F0F">
              <w:fldChar w:fldCharType="separate"/>
            </w:r>
            <w:r w:rsidRPr="0051673A">
              <w:rPr>
                <w:noProof/>
              </w:rPr>
              <w:t>(Gary &amp; Mahr, 2021)</w:t>
            </w:r>
            <w:r w:rsidRPr="00015F0F">
              <w:fldChar w:fldCharType="end"/>
            </w:r>
          </w:p>
        </w:tc>
      </w:tr>
      <w:tr w:rsidR="0051673A" w:rsidRPr="000A4EE6" w:rsidTr="0051673A">
        <w:trPr>
          <w:trHeight w:val="114"/>
        </w:trPr>
        <w:tc>
          <w:tcPr>
            <w:tcW w:w="2522" w:type="dxa"/>
          </w:tcPr>
          <w:p w:rsidR="0051673A" w:rsidRPr="00015F0F" w:rsidRDefault="0051673A" w:rsidP="00F54EA9">
            <w:pPr>
              <w:suppressAutoHyphens w:val="0"/>
              <w:spacing w:line="360" w:lineRule="auto"/>
              <w:rPr>
                <w:color w:val="000000"/>
                <w:kern w:val="24"/>
              </w:rPr>
            </w:pPr>
            <w:r w:rsidRPr="00015F0F">
              <w:rPr>
                <w:color w:val="000000"/>
                <w:kern w:val="24"/>
              </w:rPr>
              <w:t>bayestestR</w:t>
            </w:r>
          </w:p>
        </w:tc>
        <w:tc>
          <w:tcPr>
            <w:tcW w:w="1977" w:type="dxa"/>
          </w:tcPr>
          <w:p w:rsidR="0051673A" w:rsidRPr="00015F0F" w:rsidRDefault="0051673A" w:rsidP="00F54EA9">
            <w:pPr>
              <w:suppressAutoHyphens w:val="0"/>
              <w:spacing w:line="360" w:lineRule="auto"/>
            </w:pPr>
            <w:r w:rsidRPr="00015F0F">
              <w:t>0.8.2</w:t>
            </w:r>
          </w:p>
        </w:tc>
        <w:tc>
          <w:tcPr>
            <w:tcW w:w="4140" w:type="dxa"/>
          </w:tcPr>
          <w:p w:rsidR="0051673A" w:rsidRPr="000A4EE6" w:rsidRDefault="0051673A" w:rsidP="00F54EA9">
            <w:pPr>
              <w:suppressAutoHyphens w:val="0"/>
              <w:spacing w:line="360" w:lineRule="auto"/>
              <w:rPr>
                <w:rFonts w:eastAsia="Times New Roman" w:cstheme="minorHAnsi"/>
                <w:lang w:eastAsia="nl-NL"/>
              </w:rPr>
            </w:pPr>
            <w:r w:rsidRPr="00015F0F">
              <w:fldChar w:fldCharType="begin" w:fldLock="1"/>
            </w:r>
            <w:r>
              <w:rPr>
                <w:rFonts w:eastAsia="Times New Roman" w:cstheme="minorHAnsi"/>
                <w:lang w:eastAsia="nl-NL"/>
              </w:rPr>
              <w:instrText>ADDIN CSL_CITATION {"citationItems":[{"id":"ITEM-1","itemData":{"DOI":"10.21105/joss.01541","author":[{"dropping-particle":"","family":"Makowski","given":"D.","non-dropping-particle":"","parse-names":false,"suffix":""},{"dropping-particle":"","family":"Ben-Shachar","given":"M. S.","non-dropping-particle":"","parse-names":false,"suffix":""},{"dropping-particle":"","family":"Lüdecke","given":"D.","non-dropping-particle":"","parse-names":false,"suffix":""}],"container-title":"Journal of Open Source Software","id":"ITEM-1","issue":"40","issued":{"date-parts":[["2019"]]},"page":"1541","title":"bayestestR: Describing Effects and their Uncertainty, Existence and Significance within the Bayesian Framework","type":"article-journal","volume":"4"},"uris":["http://www.mendeley.com/documents/?uuid=9fb12099-b7d1-4ffc-9133-239a0af6b393"]}],"mendeley":{"formattedCitation":"(Makowski, Ben-Shachar, &amp; Lüdecke, 2019)","plainTextFormattedCitation":"(Makowski, Ben-Shachar, &amp; Lüdecke, 2019)","previouslyFormattedCitation":"(Makowski, Ben-Shachar and Lüdecke, 2019)"},"properties":{"noteIndex":0},"schema":"https://github.com/citation-style-language/schema/raw/master/csl-citation.json"}</w:instrText>
            </w:r>
            <w:r w:rsidRPr="00015F0F">
              <w:fldChar w:fldCharType="separate"/>
            </w:r>
            <w:r w:rsidRPr="0051673A">
              <w:rPr>
                <w:rFonts w:eastAsia="Times New Roman" w:cstheme="minorHAnsi"/>
                <w:noProof/>
                <w:lang w:eastAsia="nl-NL"/>
              </w:rPr>
              <w:t>(Makowski, Ben-Shachar, &amp; Lüdecke, 2019)</w:t>
            </w:r>
            <w:r w:rsidRPr="00015F0F">
              <w:fldChar w:fldCharType="end"/>
            </w:r>
          </w:p>
        </w:tc>
      </w:tr>
      <w:tr w:rsidR="0051673A" w:rsidRPr="000A4EE6" w:rsidTr="0051673A">
        <w:trPr>
          <w:trHeight w:val="114"/>
        </w:trPr>
        <w:tc>
          <w:tcPr>
            <w:tcW w:w="2522" w:type="dxa"/>
          </w:tcPr>
          <w:p w:rsidR="0051673A" w:rsidRPr="00015F0F" w:rsidRDefault="0051673A" w:rsidP="00F54EA9">
            <w:pPr>
              <w:suppressAutoHyphens w:val="0"/>
              <w:spacing w:line="360" w:lineRule="auto"/>
              <w:rPr>
                <w:color w:val="000000"/>
                <w:kern w:val="24"/>
              </w:rPr>
            </w:pPr>
            <w:r w:rsidRPr="00015F0F">
              <w:rPr>
                <w:color w:val="000000"/>
                <w:kern w:val="24"/>
              </w:rPr>
              <w:t>brms</w:t>
            </w:r>
          </w:p>
        </w:tc>
        <w:tc>
          <w:tcPr>
            <w:tcW w:w="1977" w:type="dxa"/>
          </w:tcPr>
          <w:p w:rsidR="0051673A" w:rsidRPr="00015F0F" w:rsidRDefault="0051673A" w:rsidP="00F54EA9">
            <w:pPr>
              <w:suppressAutoHyphens w:val="0"/>
              <w:spacing w:line="360" w:lineRule="auto"/>
            </w:pPr>
            <w:r w:rsidRPr="00015F0F">
              <w:t>2.14.4</w:t>
            </w:r>
          </w:p>
        </w:tc>
        <w:tc>
          <w:tcPr>
            <w:tcW w:w="4140" w:type="dxa"/>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{"citationItems":[{"id":"ITEM-1","itemData":{"DOI":"10.18637/jss.v080.i01","ISSN":"15487660","abstract":"The brms package implements Bayesian multilevel models in R using the probabilistic programming language Stan. A wide range of distributions and link functions are supported, allowing users to fit – among others – linear, robust linear, binomial, Poisson, survival, ordinal, zero-inflated, hurdle, and even non-linear models all in a multilevel context. Further modeling options include autocorrelation of the response variable, user defined covariance structures, censored data, as well as meta-analytic standard errors. Prior specifications are flexible and explicitly encourage users to apply prior distributions that actually reflect their beliefs. In addition, model fit can easily be assessed and compared with the Watanabe-Akaike information criterion and leave-one-out cross-validation.","author":[{"dropping-particle":"","family":"Bürkner","given":"Paul Christian","non-dropping-particle":"","parse-names":false,"suffix":""}],"container-title":"Journal of Statistical Software","id":"ITEM-1","issue":"1","issued":{"date-parts":[["2017"]]},"page":"v2.14.4","title":"brms: An R package for Bayesian multilevel models using Stan","type":"article-journal","volume":"80"},"uris":["http://www.mendeley.com/documents/?uuid=b2d5c1d4-fe1b-4d75-8330-7f306869a831"]}],"mendeley":{"formattedCitation":"(Bürkner, 2017)","plainTextFormattedCitation":"(Bürkner, 2017)","previouslyFormattedCitation":"(Bürkner, 2017)"},"properties":{"noteIndex":0},"schema":"https://github.com/citation-style-language/schema/raw/master/csl-citation.json"}</w:instrText>
            </w:r>
            <w:r w:rsidRPr="00015F0F">
              <w:fldChar w:fldCharType="separate"/>
            </w:r>
            <w:r w:rsidRPr="00015F0F">
              <w:rPr>
                <w:noProof/>
              </w:rPr>
              <w:t>(Bürkner, 2017)</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emmeans</w:t>
            </w:r>
          </w:p>
        </w:tc>
        <w:tc>
          <w:tcPr>
            <w:tcW w:w="1977" w:type="dxa"/>
            <w:hideMark/>
          </w:tcPr>
          <w:p w:rsidR="0051673A" w:rsidRPr="00015F0F" w:rsidRDefault="0051673A" w:rsidP="00F54EA9">
            <w:pPr>
              <w:suppressAutoHyphens w:val="0"/>
              <w:spacing w:line="360" w:lineRule="auto"/>
            </w:pPr>
            <w:r w:rsidRPr="00015F0F">
              <w:t>1.5.3</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emmeans","author":[{"dropping-particle":"V.","family":"Lenth","given":"R.","non-dropping-particle":"","parse-names":false,"suffix":""}],"id":"ITEM-1","issued":{"date-parts":[["2020"]]},"page":"v1.5.3","title":"emmeans: Estimated Marginal Means, aka Least-Squares Means","type":"webpage"},"uris":["http://www.mendeley.com/documents/?uuid=2edf9a61-4d11-4bb9-a4d1-0e6e17466176"]}],"mendeley":{"formattedCitation":"(Lenth, 2020)","plainTextFormattedCitation":"(Lenth, 2020)","previouslyFormattedCitation":"(Lenth, 2020)"},"properties":{"noteIndex":0},"schema":"https://github.com/citation-style-language/schema/raw/master/csl-citation.json"}</w:instrText>
            </w:r>
            <w:r w:rsidRPr="00015F0F">
              <w:fldChar w:fldCharType="separate"/>
            </w:r>
            <w:r w:rsidRPr="00015F0F">
              <w:rPr>
                <w:noProof/>
              </w:rPr>
              <w:t>(Lenth, 2020)</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ggplot2</w:t>
            </w:r>
          </w:p>
        </w:tc>
        <w:tc>
          <w:tcPr>
            <w:tcW w:w="1977" w:type="dxa"/>
            <w:hideMark/>
          </w:tcPr>
          <w:p w:rsidR="0051673A" w:rsidRPr="00015F0F" w:rsidRDefault="0051673A" w:rsidP="00F54EA9">
            <w:pPr>
              <w:suppressAutoHyphens w:val="0"/>
              <w:spacing w:line="360" w:lineRule="auto"/>
            </w:pPr>
            <w:r w:rsidRPr="00015F0F">
              <w:t>3.3.3</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ISBN":"978-3-319-24277-4","author":[{"dropping-particle":"","family":"Wickham","given":"H.","non-dropping-particle":"","parse-names":false,"suffix":""}],"id":"ITEM-1","issued":{"date-parts":[["2016"]]},"number-of-pages":"v3.2.1","publisher":"Springer-Verlag New York","title":"ggplot2: Elegant Graphics for Data Analysis","type":"book"},"uris":["http://www.mendeley.com/documents/?uuid=b8d960e3-ecee-4391-840f-fb7dcddd21be"]}],"mendeley":{"formattedCitation":"(Wickham, 2016)","plainTextFormattedCitation":"(Wickham, 2016)","previouslyFormattedCitation":"(Wickham, 2016)"},"properties":{"noteIndex":0},"schema":"https://github.com/citation-style-language/schema/raw/master/csl-citation.json"}</w:instrText>
            </w:r>
            <w:r w:rsidRPr="00015F0F">
              <w:fldChar w:fldCharType="separate"/>
            </w:r>
            <w:r w:rsidRPr="00015F0F">
              <w:rPr>
                <w:noProof/>
              </w:rPr>
              <w:t>(Wickham, 2016)</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ggplotify</w:t>
            </w:r>
          </w:p>
        </w:tc>
        <w:tc>
          <w:tcPr>
            <w:tcW w:w="1977" w:type="dxa"/>
            <w:hideMark/>
          </w:tcPr>
          <w:p w:rsidR="0051673A" w:rsidRPr="00015F0F" w:rsidRDefault="0051673A" w:rsidP="00F54EA9">
            <w:pPr>
              <w:suppressAutoHyphens w:val="0"/>
              <w:spacing w:line="360" w:lineRule="auto"/>
            </w:pPr>
            <w:r w:rsidRPr="00015F0F">
              <w:t>0.0.5</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ggplotify","author":[{"dropping-particle":"","family":"Yu","given":"G.","non-dropping-particle":"","parse-names":false,"suffix":""}],"id":"ITEM-1","issued":{"date-parts":[["2020"]]},"page":"v0.0.5","title":"ggplotify: Convert Plot to 'grob' or 'ggplot' Object","type":"webpage"},"uris":["http://www.mendeley.com/documents/?uuid=c760e234-09a1-4b4b-ab2b-b01122065f24"]}],"mendeley":{"formattedCitation":"(Yu, 2020)","plainTextFormattedCitation":"(Yu, 2020)","previouslyFormattedCitation":"(Yu, 2020)"},"properties":{"noteIndex":0},"schema":"https://github.com/citation-style-language/schema/raw/master/csl-citation.json"}</w:instrText>
            </w:r>
            <w:r w:rsidRPr="00015F0F">
              <w:fldChar w:fldCharType="separate"/>
            </w:r>
            <w:r w:rsidRPr="00015F0F">
              <w:rPr>
                <w:noProof/>
              </w:rPr>
              <w:t>(Yu, 2020)</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ggpubr</w:t>
            </w:r>
          </w:p>
        </w:tc>
        <w:tc>
          <w:tcPr>
            <w:tcW w:w="1977" w:type="dxa"/>
            <w:hideMark/>
          </w:tcPr>
          <w:p w:rsidR="0051673A" w:rsidRPr="00015F0F" w:rsidRDefault="0051673A" w:rsidP="00F54EA9">
            <w:pPr>
              <w:suppressAutoHyphens w:val="0"/>
              <w:spacing w:line="360" w:lineRule="auto"/>
            </w:pPr>
            <w:r w:rsidRPr="00015F0F">
              <w:t>0.4.0</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ggpubr","author":[{"dropping-particle":"","family":"Kassambara","given":"A.","non-dropping-particle":"","parse-names":false,"suffix":""}],"id":"ITEM-1","issued":{"date-parts":[["2020"]]},"page":"v0.4.0","title":"ggpubr: 'ggplot2' Based Publication Ready Plots","type":"webpage"},"uris":["http://www.mendeley.com/documents/?uuid=653312c8-a60d-4825-8ea5-8943987596b8"]}],"mendeley":{"formattedCitation":"(Kassambara, 2020)","plainTextFormattedCitation":"(Kassambara, 2020)","previouslyFormattedCitation":"(Kassambara, 2020)"},"properties":{"noteIndex":0},"schema":"https://github.com/citation-style-language/schema/raw/master/csl-citation.json"}</w:instrText>
            </w:r>
            <w:r w:rsidRPr="00015F0F">
              <w:fldChar w:fldCharType="separate"/>
            </w:r>
            <w:r w:rsidRPr="00015F0F">
              <w:rPr>
                <w:noProof/>
              </w:rPr>
              <w:t>(Kassambara, 2020)</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lme4</w:t>
            </w:r>
          </w:p>
        </w:tc>
        <w:tc>
          <w:tcPr>
            <w:tcW w:w="1977" w:type="dxa"/>
            <w:hideMark/>
          </w:tcPr>
          <w:p w:rsidR="0051673A" w:rsidRPr="00015F0F" w:rsidRDefault="0051673A" w:rsidP="00F54EA9">
            <w:pPr>
              <w:suppressAutoHyphens w:val="0"/>
              <w:spacing w:line="360" w:lineRule="auto"/>
            </w:pPr>
            <w:r w:rsidRPr="00015F0F">
              <w:t>1.1-26</w:t>
            </w:r>
          </w:p>
        </w:tc>
        <w:tc>
          <w:tcPr>
            <w:tcW w:w="4140" w:type="dxa"/>
            <w:hideMark/>
          </w:tcPr>
          <w:p w:rsidR="0051673A" w:rsidRPr="00015F0F" w:rsidRDefault="0051673A" w:rsidP="00F54EA9">
            <w:pPr>
              <w:suppressAutoHyphens w:val="0"/>
              <w:spacing w:line="360" w:lineRule="auto"/>
            </w:pPr>
            <w:r w:rsidRPr="00015F0F">
              <w:fldChar w:fldCharType="begin" w:fldLock="1"/>
            </w:r>
            <w:r>
              <w:instrText>ADDIN CSL_CITATION {"citationItems":[{"id":"ITEM-1","itemData":{"DOI":"10.18637/jss.v067.i01","ISSN":"15487660","abstract":"Maximum likelihood or restricted maximum likelihood (REML) estimates of the parameters in linear mixed-effects models can be determined using the lmer function in the lme4 package for R. As for most model-fitting functions in R, the model is described in an lmer call by a formula, in this case including both fixed- and random-effects terms. The formula and data together determine a numerical representation of the model from which the profiled deviance or the profiled REML criterion can be evaluated as a function of some of the model parameters. The appropriate criterion is optimized, using one of the constrained optimization functions in R, to provide the parameter estimates. We describe the structure of the model, the steps in evaluating the profiled deviance or REML criterion, and the structure of classes or types that represents such a model. Sufficient detail is included to allow specialization of these structures by users who wish to write functions to fit specialized linear mixed models, such as models incorporating pedigrees or smoothing splines, that are not easily expressible in the formula language used by lmer.","author":[{"dropping-particle":"","family":"Bates","given":"Douglas","non-dropping-particle":"","parse-names":false,"suffix":""},{"dropping-particle":"","family":"Mächler","given":"Martin","non-dropping-particle":"","parse-names":false,"suffix":""},{"dropping-particle":"","family":"Bolker","given":"Benjamin M.","non-dropping-particle":"","parse-names":false,"suffix":""},{"dropping-particle":"","family":"Walker","given":"Steven C.","non-dropping-particle":"","parse-names":false,"suffix":""}],"container-title":"Journal of Statistical Software","id":"ITEM-1","issue":"1","issued":{"date-parts":[["2015"]]},"page":"v1.1-21","title":"Fitting linear mixed-effects models using lme4","type":"article-journal","volume":"67"},"uris":["http://www.mendeley.com/documents/?uuid=828e7f5a-7fa9-4209-acb0-e9e0e2174ed6"]}],"mendeley":{"formattedCitation":"(Bates, Mächler, Bolker, &amp; Walker, 2015)","plainTextFormattedCitation":"(Bates, Mächler, Bolker, &amp; Walker, 2015)","previouslyFormattedCitation":"(Bates &lt;i&gt;et al.&lt;/i&gt;, 2015)"},"properties":{"noteIndex":0},"schema":"https://github.com/citation-style-language/schema/raw/master/csl-citation.json"}</w:instrText>
            </w:r>
            <w:r w:rsidRPr="00015F0F">
              <w:fldChar w:fldCharType="separate"/>
            </w:r>
            <w:r w:rsidRPr="0051673A">
              <w:rPr>
                <w:noProof/>
              </w:rPr>
              <w:t>(Bates, Mächler, Bolker, &amp; Walker, 2015)</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lmerTest</w:t>
            </w:r>
          </w:p>
        </w:tc>
        <w:tc>
          <w:tcPr>
            <w:tcW w:w="1977" w:type="dxa"/>
            <w:hideMark/>
          </w:tcPr>
          <w:p w:rsidR="0051673A" w:rsidRPr="00015F0F" w:rsidRDefault="0051673A" w:rsidP="00F54EA9">
            <w:pPr>
              <w:suppressAutoHyphens w:val="0"/>
              <w:spacing w:line="360" w:lineRule="auto"/>
            </w:pPr>
            <w:r w:rsidRPr="00015F0F">
              <w:t>3.1-3</w:t>
            </w:r>
          </w:p>
        </w:tc>
        <w:tc>
          <w:tcPr>
            <w:tcW w:w="4140" w:type="dxa"/>
            <w:hideMark/>
          </w:tcPr>
          <w:p w:rsidR="0051673A" w:rsidRPr="00015F0F" w:rsidRDefault="0051673A" w:rsidP="00F54EA9">
            <w:pPr>
              <w:suppressAutoHyphens w:val="0"/>
              <w:spacing w:line="360" w:lineRule="auto"/>
            </w:pPr>
            <w:r w:rsidRPr="00015F0F">
              <w:fldChar w:fldCharType="begin" w:fldLock="1"/>
            </w:r>
            <w:r>
              <w:instrText>ADDIN CSL_CITATION {"citationItems":[{"id":"ITEM-1","itemData":{"DOI":"10.18637/jss.v082.i13","ISSN":"1548-7660","abstract":"One of the frequent questions by users of the mixed model function lmer of the lme4 package has been: How can I get p values for the F and t tests for objects returned by lmer? The lmerTest package extends the 'lmerMod' class of the lme4 package, by overloading the anova and summary functions by providing p values for tests for fixed effects. We have implemented the Satterthwaite's method for approximating degrees of freedom for the t and F tests. We have also implemented the construction of Type I - III ANOVA tables. Furthermore, one may also obtain the summary as well as the anova table using the Kenward-Roger approximation for denominator degrees of freedom (based on the KRmodcomp function from the pbkrtest package). Some other convenient mixed model analysis tools such as a step method, that performs backward elimination of nonsignificant effects - both random and fixed, calculation of population means and multiple comparison tests together with plot facilities are provided by the package as well.","author":[{"dropping-particle":"","family":"Kuznetsova","given":"Alexandra","non-dropping-particle":"","parse-names":false,"suffix":""},{"dropping-particle":"","family":"Brockhoff","given":"Per B.","non-dropping-particle":"","parse-names":false,"suffix":""},{"dropping-particle":"","family":"Christensen","given":"Rune H. B.","non-dropping-particle":"","parse-names":false,"suffix":""}],"container-title":"Journal of Statistical Software","id":"ITEM-1","issue":"13","issued":{"date-parts":[["2017"]]},"page":"v3.1-0","title":"lmerTest Package: Tests in Linear Mixed Effects Models","type":"article-journal","volume":"82"},"uris":["http://www.mendeley.com/documents/?uuid=6512c190-a2a5-4d91-808d-d2e601b75188"]}],"mendeley":{"formattedCitation":"(Kuznetsova, Brockhoff, &amp; Christensen, 2017)","plainTextFormattedCitation":"(Kuznetsova, Brockhoff, &amp; Christensen, 2017)","previouslyFormattedCitation":"(Kuznetsova &lt;i&gt;et al.&lt;/i&gt;, 2017)"},"properties":{"noteIndex":0},"schema":"https://github.com/citation-style-language/schema/raw/master/csl-citation.json"}</w:instrText>
            </w:r>
            <w:r w:rsidRPr="00015F0F">
              <w:fldChar w:fldCharType="separate"/>
            </w:r>
            <w:r w:rsidRPr="0051673A">
              <w:rPr>
                <w:noProof/>
              </w:rPr>
              <w:t>(Kuznetsova, Brockhoff, &amp; Christensen, 2017)</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magrittr</w:t>
            </w:r>
          </w:p>
        </w:tc>
        <w:tc>
          <w:tcPr>
            <w:tcW w:w="1977" w:type="dxa"/>
            <w:hideMark/>
          </w:tcPr>
          <w:p w:rsidR="0051673A" w:rsidRPr="00015F0F" w:rsidRDefault="0051673A" w:rsidP="00F54EA9">
            <w:pPr>
              <w:suppressAutoHyphens w:val="0"/>
              <w:spacing w:line="360" w:lineRule="auto"/>
            </w:pPr>
            <w:r w:rsidRPr="00015F0F">
              <w:t>2.0.1</w:t>
            </w:r>
          </w:p>
        </w:tc>
        <w:tc>
          <w:tcPr>
            <w:tcW w:w="4140" w:type="dxa"/>
            <w:hideMark/>
          </w:tcPr>
          <w:p w:rsidR="0051673A" w:rsidRPr="00015F0F" w:rsidRDefault="0051673A" w:rsidP="00F54EA9">
            <w:pPr>
              <w:suppressAutoHyphens w:val="0"/>
              <w:spacing w:line="360" w:lineRule="auto"/>
            </w:pPr>
            <w:r w:rsidRPr="00015F0F">
              <w:fldChar w:fldCharType="begin" w:fldLock="1"/>
            </w:r>
            <w:r>
              <w:instrText>ADDIN CSL_CITATION {"citationItems":[{"id":"ITEM-1","itemData":{"URL":"https://cran.r-project.org/package=magrittr","author":[{"dropping-particle":"","family":"Bache","given":"S. M.","non-dropping-particle":"","parse-names":false,"suffix":""},{"dropping-particle":"","family":"Wickham","given":"H.","non-dropping-particle":"","parse-names":false,"suffix":""}],"id":"ITEM-1","issued":{"date-parts":[["2020"]]},"page":"v2.0.1","title":"magrittr: A Forward-Pipe Operator for R","type":"webpage"},"uris":["http://www.mendeley.com/documents/?uuid=c1e0248f-9821-4626-be82-f59487d2ac16"]}],"mendeley":{"formattedCitation":"(Bache &amp; Wickham, 2020)","plainTextFormattedCitation":"(Bache &amp; Wickham, 2020)","previouslyFormattedCitation":"(Bache and Wickham, 2020)"},"properties":{"noteIndex":0},"schema":"https://github.com/citation-style-language/schema/raw/master/csl-citation.json"}</w:instrText>
            </w:r>
            <w:r w:rsidRPr="00015F0F">
              <w:fldChar w:fldCharType="separate"/>
            </w:r>
            <w:r w:rsidRPr="0051673A">
              <w:rPr>
                <w:noProof/>
              </w:rPr>
              <w:t>(Bache &amp; Wickham, 2020)</w:t>
            </w:r>
            <w:r w:rsidRPr="00015F0F">
              <w:fldChar w:fldCharType="end"/>
            </w:r>
          </w:p>
        </w:tc>
      </w:tr>
      <w:tr w:rsidR="0051673A" w:rsidRPr="001C12E7" w:rsidTr="0051673A">
        <w:trPr>
          <w:trHeight w:val="114"/>
        </w:trPr>
        <w:tc>
          <w:tcPr>
            <w:tcW w:w="2522" w:type="dxa"/>
          </w:tcPr>
          <w:p w:rsidR="0051673A" w:rsidRPr="00015F0F" w:rsidRDefault="0051673A" w:rsidP="00F54EA9">
            <w:pPr>
              <w:suppressAutoHyphens w:val="0"/>
              <w:spacing w:line="360" w:lineRule="auto"/>
              <w:rPr>
                <w:color w:val="000000"/>
                <w:kern w:val="24"/>
              </w:rPr>
            </w:pPr>
            <w:r w:rsidRPr="00015F0F">
              <w:rPr>
                <w:color w:val="000000"/>
                <w:kern w:val="24"/>
              </w:rPr>
              <w:t>mice</w:t>
            </w:r>
          </w:p>
        </w:tc>
        <w:tc>
          <w:tcPr>
            <w:tcW w:w="1977" w:type="dxa"/>
          </w:tcPr>
          <w:p w:rsidR="0051673A" w:rsidRPr="00015F0F" w:rsidRDefault="0051673A" w:rsidP="00F54EA9">
            <w:pPr>
              <w:suppressAutoHyphens w:val="0"/>
              <w:spacing w:line="360" w:lineRule="auto"/>
            </w:pPr>
            <w:r w:rsidRPr="00015F0F">
              <w:t>3.13.0</w:t>
            </w:r>
          </w:p>
        </w:tc>
        <w:tc>
          <w:tcPr>
            <w:tcW w:w="4140" w:type="dxa"/>
          </w:tcPr>
          <w:p w:rsidR="0051673A" w:rsidRPr="00015F0F" w:rsidRDefault="0051673A" w:rsidP="00F54EA9">
            <w:pPr>
              <w:suppressAutoHyphens w:val="0"/>
              <w:spacing w:line="360" w:lineRule="auto"/>
              <w:rPr>
                <w:lang w:val="nl-NL"/>
              </w:rPr>
            </w:pPr>
            <w:r w:rsidRPr="00015F0F">
              <w:fldChar w:fldCharType="begin" w:fldLock="1"/>
            </w:r>
            <w:r>
              <w:rPr>
                <w:lang w:val="nl-NL"/>
              </w:rPr>
              <w:instrText>ADDIN CSL_CITATION {"citationItems":[{"id":"ITEM-1","itemData":{"DOI":"10.18637/jss.v045.i03","ISSN":"15487660","abstract":"The R package mice imputes incomplete multivariate data by chained equations. The software mice 1.0 appeared in the year 2000 as an S-PLUS library, and in 2001 as an R package. mice 1.0 introduced predictor selection, passive imputation and automatic pooling. This article documents mice 2.9, which extends the functionality of mice 1.0 in several ways. In mice 2.9, the analysis of imputed data is made completely general, whereas the range of models under which pooling works is substantially extended. mice 2.9 adds new functionality for imputing multilevel data, automatic predictor selection, data handling, post-processing imputed values, specialized pooling routines, model selection tools, and diagnostic graphs. Imputation of categorical data is improved in order to bypass problems caused by perfect prediction. Special attention is paid to transformations, sum scores, indices and interactions using passive imputation, and to the proper setup of the predictor matrix. mice 2.9 can be downloaded from the Comprehensive R Archive Network. This article provides a hands-on, stepwise approach to solve applied incomplete data problems.","author":[{"dropping-particle":"","family":"Buuren","given":"S.","non-dropping-particle":"van","parse-names":false,"suffix":""},{"dropping-particle":"","family":"Groothuis-Oudshoorn","given":"K.","non-dropping-particle":"","parse-names":false,"suffix":""}],"container-title":"Journal of Statistical Software","id":"ITEM-1","issue":"3","issued":{"date-parts":[["2011"]]},"page":"1-67","title":"mice: Multivariate imputation by chained equations in R","type":"article-journal","volume":"45"},"uris":["http://www.mendeley.com/documents/?uuid=37245bd5-313b-4737-b68b-c971f454686a"]}],"mendeley":{"formattedCitation":"(van Buuren &amp; Groothuis-Oudshoorn, 2011)","plainTextFormattedCitation":"(van Buuren &amp; Groothuis-Oudshoorn, 2011)","previouslyFormattedCitation":"(van Buuren and Groothuis-Oudshoorn, 2011)"},"properties":{"noteIndex":0},"schema":"https://github.com/citation-style-language/schema/raw/master/csl-citation.json"}</w:instrText>
            </w:r>
            <w:r w:rsidRPr="00015F0F">
              <w:fldChar w:fldCharType="separate"/>
            </w:r>
            <w:r w:rsidRPr="0051673A">
              <w:rPr>
                <w:noProof/>
                <w:lang w:val="nl-NL"/>
              </w:rPr>
              <w:t>(van Buuren &amp; Groothuis-Oudshoorn, 2011)</w:t>
            </w:r>
            <w:r w:rsidRPr="00015F0F">
              <w:fldChar w:fldCharType="end"/>
            </w:r>
          </w:p>
        </w:tc>
      </w:tr>
      <w:tr w:rsidR="0051673A" w:rsidRPr="000A4EE6" w:rsidTr="0051673A">
        <w:trPr>
          <w:trHeight w:val="114"/>
        </w:trPr>
        <w:tc>
          <w:tcPr>
            <w:tcW w:w="2522" w:type="dxa"/>
          </w:tcPr>
          <w:p w:rsidR="0051673A" w:rsidRPr="00015F0F" w:rsidRDefault="0051673A" w:rsidP="00F54EA9">
            <w:pPr>
              <w:suppressAutoHyphens w:val="0"/>
              <w:spacing w:line="360" w:lineRule="auto"/>
              <w:rPr>
                <w:color w:val="000000"/>
                <w:kern w:val="24"/>
              </w:rPr>
            </w:pPr>
            <w:r w:rsidRPr="00015F0F">
              <w:rPr>
                <w:color w:val="000000"/>
                <w:kern w:val="24"/>
              </w:rPr>
              <w:t>MuMIn</w:t>
            </w:r>
          </w:p>
        </w:tc>
        <w:tc>
          <w:tcPr>
            <w:tcW w:w="1977" w:type="dxa"/>
          </w:tcPr>
          <w:p w:rsidR="0051673A" w:rsidRPr="00015F0F" w:rsidRDefault="0051673A" w:rsidP="00F54EA9">
            <w:pPr>
              <w:suppressAutoHyphens w:val="0"/>
              <w:spacing w:line="360" w:lineRule="auto"/>
            </w:pPr>
            <w:r w:rsidRPr="00015F0F">
              <w:t>1.43.17</w:t>
            </w:r>
          </w:p>
        </w:tc>
        <w:tc>
          <w:tcPr>
            <w:tcW w:w="4140" w:type="dxa"/>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MuMIn","author":[{"dropping-particle":"","family":"Barton","given":"K.","non-dropping-particle":"","parse-names":false,"suffix":""}],"id":"ITEM-1","issued":{"date-parts":[["2019"]]},"title":"MuMIn: Multi-Model Inference","type":"webpage"},"uris":["http://www.mendeley.com/documents/?uuid=b14e2bda-4ee2-4825-ad88-9e241a9a9d2d"]}],"mendeley":{"formattedCitation":"(Barton, 2019)","plainTextFormattedCitation":"(Barton, 2019)","previouslyFormattedCitation":"(Barton, 2019)"},"properties":{"noteIndex":0},"schema":"https://github.com/citation-style-language/schema/raw/master/csl-citation.json"}</w:instrText>
            </w:r>
            <w:r w:rsidRPr="00015F0F">
              <w:fldChar w:fldCharType="separate"/>
            </w:r>
            <w:r w:rsidRPr="00015F0F">
              <w:rPr>
                <w:noProof/>
              </w:rPr>
              <w:t>(Barton, 2019)</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officer</w:t>
            </w:r>
          </w:p>
        </w:tc>
        <w:tc>
          <w:tcPr>
            <w:tcW w:w="1977" w:type="dxa"/>
            <w:hideMark/>
          </w:tcPr>
          <w:p w:rsidR="0051673A" w:rsidRPr="00015F0F" w:rsidRDefault="0051673A" w:rsidP="00F54EA9">
            <w:pPr>
              <w:suppressAutoHyphens w:val="0"/>
              <w:spacing w:line="360" w:lineRule="auto"/>
            </w:pPr>
            <w:r w:rsidRPr="00015F0F">
              <w:t>0.3.16</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officer","author":[{"dropping-particle":"","family":"Gohel","given":"D.","non-dropping-particle":"","parse-names":false,"suffix":""}],"id":"ITEM-1","issued":{"date-parts":[["2021"]]},"page":"v0.3.16","title":"officer: Manipulation of Microsoft Word and PowerPoint Documents","type":"webpage"},"uris":["http://www.mendeley.com/documents/?uuid=314ca029-0d03-4047-ac2c-6219e79a37d6"]}],"mendeley":{"formattedCitation":"(Gohel, 2021)","plainTextFormattedCitation":"(Gohel, 2021)","previouslyFormattedCitation":"(Gohel, 2021)"},"properties":{"noteIndex":0},"schema":"https://github.com/citation-style-language/schema/raw/master/csl-citation.json"}</w:instrText>
            </w:r>
            <w:r w:rsidRPr="00015F0F">
              <w:fldChar w:fldCharType="separate"/>
            </w:r>
            <w:r w:rsidRPr="00015F0F">
              <w:rPr>
                <w:noProof/>
              </w:rPr>
              <w:t>(Gohel, 2021)</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rockchalk</w:t>
            </w:r>
          </w:p>
        </w:tc>
        <w:tc>
          <w:tcPr>
            <w:tcW w:w="1977" w:type="dxa"/>
            <w:hideMark/>
          </w:tcPr>
          <w:p w:rsidR="0051673A" w:rsidRPr="00015F0F" w:rsidRDefault="0051673A" w:rsidP="00F54EA9">
            <w:pPr>
              <w:suppressAutoHyphens w:val="0"/>
              <w:spacing w:line="360" w:lineRule="auto"/>
            </w:pPr>
            <w:r w:rsidRPr="00015F0F">
              <w:t>1.8.144</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{"citationItems":[{"id":"ITEM-1","itemData":{"URL":"https://cran.r-project.org/package=rockchalk","author":[{"dropping-particle":"","family":"Johnson","given":"P. E.","non-dropping-particle":"","parse-names":false,"suffix":""}],"id":"ITEM-1","issued":{"date-parts":[["2019"]]},"title":"rockchalk: Regression Estimation and Presentation","type":"webpage"},"uris":["http://www.mendeley.com/documents/?uuid=1114825e-08df-44d2-9761-49f237c892a7"]}],"mendeley":{"formattedCitation":"(Johnson, 2019)","plainTextFormattedCitation":"(Johnson, 2019)","previouslyFormattedCitation":"(Johnson, 2019)"},"properties":{"noteIndex":0},"schema":"https://github.com/citation-style-language/schema/raw/master/csl-citation.json"}</w:instrText>
            </w:r>
            <w:r w:rsidRPr="00015F0F">
              <w:fldChar w:fldCharType="separate"/>
            </w:r>
            <w:r w:rsidRPr="00015F0F">
              <w:rPr>
                <w:noProof/>
              </w:rPr>
              <w:t>(Johnson, 2019)</w:t>
            </w:r>
            <w:r w:rsidRPr="00015F0F">
              <w:fldChar w:fldCharType="end"/>
            </w:r>
          </w:p>
        </w:tc>
      </w:tr>
      <w:tr w:rsidR="0051673A" w:rsidRPr="000A4EE6" w:rsidTr="0051673A">
        <w:trPr>
          <w:trHeight w:val="114"/>
        </w:trPr>
        <w:tc>
          <w:tcPr>
            <w:tcW w:w="2522" w:type="dxa"/>
          </w:tcPr>
          <w:p w:rsidR="0051673A" w:rsidRPr="00015F0F" w:rsidRDefault="0051673A" w:rsidP="00F54EA9">
            <w:pPr>
              <w:suppressAutoHyphens w:val="0"/>
              <w:spacing w:line="360" w:lineRule="auto"/>
              <w:rPr>
                <w:color w:val="000000"/>
                <w:kern w:val="24"/>
              </w:rPr>
            </w:pPr>
            <w:r w:rsidRPr="00015F0F">
              <w:rPr>
                <w:color w:val="000000"/>
                <w:kern w:val="24"/>
              </w:rPr>
              <w:t>RODBC</w:t>
            </w:r>
          </w:p>
        </w:tc>
        <w:tc>
          <w:tcPr>
            <w:tcW w:w="1977" w:type="dxa"/>
          </w:tcPr>
          <w:p w:rsidR="0051673A" w:rsidRPr="00015F0F" w:rsidRDefault="0051673A" w:rsidP="00F54EA9">
            <w:pPr>
              <w:suppressAutoHyphens w:val="0"/>
              <w:spacing w:line="360" w:lineRule="auto"/>
            </w:pPr>
            <w:r w:rsidRPr="00015F0F">
              <w:t>1.3-17</w:t>
            </w:r>
          </w:p>
        </w:tc>
        <w:tc>
          <w:tcPr>
            <w:tcW w:w="4140" w:type="dxa"/>
          </w:tcPr>
          <w:p w:rsidR="0051673A" w:rsidRPr="00015F0F" w:rsidRDefault="0051673A" w:rsidP="00F54EA9">
            <w:pPr>
              <w:suppressAutoHyphens w:val="0"/>
              <w:spacing w:line="360" w:lineRule="auto"/>
            </w:pPr>
            <w:r w:rsidRPr="00015F0F">
              <w:fldChar w:fldCharType="begin" w:fldLock="1"/>
            </w:r>
            <w:r>
              <w:instrText>ADDIN CSL_CITATION {"citationItems":[{"id":"ITEM-1","itemData":{"URL":"https://cran.r-project.org/package=RODBC","author":[{"dropping-particle":"","family":"Ripley","given":"B.","non-dropping-particle":"","parse-names":false,"suffix":""},{"dropping-particle":"","family":"Lapsley","given":"M.","non-dropping-particle":"","parse-names":false,"suffix":""}],"id":"ITEM-1","issued":{"date-parts":[["2020"]]},"page":"v1.3-17","title":"RODBC: ODBC Database Access","type":"webpage"},"uris":["http://www.mendeley.com/documents/?uuid=0a4656be-9014-4149-8445-03df8886e888"]}],"mendeley":{"formattedCitation":"(Ripley &amp; Lapsley, 2020)","plainTextFormattedCitation":"(Ripley &amp; Lapsley, 2020)","previouslyFormattedCitation":"(Ripley and Lapsley, 2020)"},"properties":{"noteIndex":0},"schema":"https://github.com/citation-style-language/schema/raw/master/csl-citation.json"}</w:instrText>
            </w:r>
            <w:r w:rsidRPr="00015F0F">
              <w:fldChar w:fldCharType="separate"/>
            </w:r>
            <w:r w:rsidRPr="0051673A">
              <w:rPr>
                <w:noProof/>
              </w:rPr>
              <w:t>(Ripley &amp; Lapsley, 2020)</w:t>
            </w:r>
            <w:r w:rsidRPr="00015F0F">
              <w:fldChar w:fldCharType="end"/>
            </w:r>
          </w:p>
        </w:tc>
      </w:tr>
      <w:tr w:rsidR="0051673A" w:rsidRPr="000A4EE6" w:rsidTr="0051673A">
        <w:trPr>
          <w:trHeight w:val="114"/>
        </w:trPr>
        <w:tc>
          <w:tcPr>
            <w:tcW w:w="2522" w:type="dxa"/>
            <w:hideMark/>
          </w:tcPr>
          <w:p w:rsidR="0051673A" w:rsidRPr="00015F0F" w:rsidRDefault="0051673A" w:rsidP="00F54EA9">
            <w:pPr>
              <w:suppressAutoHyphens w:val="0"/>
              <w:spacing w:line="360" w:lineRule="auto"/>
            </w:pPr>
            <w:r w:rsidRPr="00015F0F">
              <w:rPr>
                <w:color w:val="000000"/>
                <w:kern w:val="24"/>
              </w:rPr>
              <w:t>rvg</w:t>
            </w:r>
          </w:p>
        </w:tc>
        <w:tc>
          <w:tcPr>
            <w:tcW w:w="1977" w:type="dxa"/>
            <w:hideMark/>
          </w:tcPr>
          <w:p w:rsidR="0051673A" w:rsidRPr="00015F0F" w:rsidRDefault="0051673A" w:rsidP="00F54EA9">
            <w:pPr>
              <w:suppressAutoHyphens w:val="0"/>
              <w:spacing w:line="360" w:lineRule="auto"/>
            </w:pPr>
            <w:r w:rsidRPr="00015F0F">
              <w:t>0.2.5</w:t>
            </w:r>
          </w:p>
        </w:tc>
        <w:tc>
          <w:tcPr>
            <w:tcW w:w="4140" w:type="dxa"/>
            <w:hideMark/>
          </w:tcPr>
          <w:p w:rsidR="0051673A" w:rsidRPr="00015F0F" w:rsidRDefault="0051673A" w:rsidP="00F54EA9">
            <w:pPr>
              <w:suppressAutoHyphens w:val="0"/>
              <w:spacing w:line="360" w:lineRule="auto"/>
            </w:pPr>
            <w:r w:rsidRPr="00015F0F">
              <w:fldChar w:fldCharType="begin" w:fldLock="1"/>
            </w:r>
            <w:r w:rsidRPr="00015F0F">
              <w:instrText>ADDIN CSL_CITATION {"citationItems":[{"id":"ITEM-1","itemData":{"URL":"https://cran.r-project.org/package=rvg","author":[{"dropping-particle":"","family":"Gohel","given":"D.","non-dropping-particle":"","parse-names":false,"suffix":""}],"id":"ITEM-1","issued":{"date-parts":[["2020"]]},"page":"v0.2.5","title":"rvg: R Graphics Devices for Vector Graphics Output","type":"webpage"},"uris":["http://www.mendeley.com/documents/?uuid=859c92ff-3b47-4f75-9e18-f0b87398ca19"]}],"mendeley":{"formattedCitation":"(Gohel, 2020)","plainTextFormattedCitation":"(Gohel, 2020)","previouslyFormattedCitation":"(Gohel, 2020)"},"properties":{"noteIndex":0},"schema":"https://github.com/citation-style-language/schema/raw/master/csl-citation.json"}</w:instrText>
            </w:r>
            <w:r w:rsidRPr="00015F0F">
              <w:fldChar w:fldCharType="separate"/>
            </w:r>
            <w:r w:rsidRPr="00015F0F">
              <w:rPr>
                <w:noProof/>
              </w:rPr>
              <w:t>(Gohel, 2020)</w:t>
            </w:r>
            <w:r w:rsidRPr="00015F0F">
              <w:fldChar w:fldCharType="end"/>
            </w:r>
          </w:p>
        </w:tc>
      </w:tr>
    </w:tbl>
    <w:p w:rsidR="0051673A" w:rsidRPr="000A4EE6" w:rsidRDefault="0051673A" w:rsidP="0051673A">
      <w:pPr>
        <w:suppressAutoHyphens w:val="0"/>
        <w:rPr>
          <w:rFonts w:cstheme="minorHAnsi"/>
          <w:b/>
        </w:rPr>
      </w:pPr>
      <w:r w:rsidRPr="000A4EE6">
        <w:rPr>
          <w:rFonts w:cstheme="minorHAnsi"/>
          <w:b/>
        </w:rPr>
        <w:br w:type="page"/>
      </w:r>
      <w:bookmarkStart w:id="0" w:name="_GoBack"/>
      <w:bookmarkEnd w:id="0"/>
    </w:p>
    <w:p w:rsidR="0051673A" w:rsidRPr="001C5550" w:rsidRDefault="0051673A" w:rsidP="0051673A">
      <w:pPr>
        <w:pStyle w:val="Caption"/>
        <w:keepNext/>
        <w:rPr>
          <w:rFonts w:ascii="Times New Roman" w:hAnsi="Times New Roman" w:cs="Times New Roman"/>
          <w:i w:val="0"/>
          <w:color w:val="auto"/>
          <w:sz w:val="24"/>
          <w:szCs w:val="24"/>
          <w:lang w:val="en-US"/>
        </w:rPr>
      </w:pPr>
      <w:bookmarkStart w:id="1" w:name="_Ref66793004"/>
      <w:bookmarkStart w:id="2" w:name="_Ref66793001"/>
      <w:r w:rsidRPr="001C5550">
        <w:rPr>
          <w:rFonts w:ascii="Times New Roman" w:hAnsi="Times New Roman" w:cs="Times New Roman"/>
          <w:i w:val="0"/>
          <w:color w:val="auto"/>
          <w:sz w:val="24"/>
          <w:szCs w:val="24"/>
          <w:lang w:val="en-US"/>
        </w:rPr>
        <w:lastRenderedPageBreak/>
        <w:t>Table S</w:t>
      </w:r>
      <w:r w:rsidRPr="001C5550">
        <w:rPr>
          <w:rFonts w:ascii="Times New Roman" w:hAnsi="Times New Roman" w:cs="Times New Roman"/>
          <w:i w:val="0"/>
          <w:color w:val="auto"/>
          <w:sz w:val="24"/>
          <w:szCs w:val="24"/>
          <w:lang w:val="en-US"/>
        </w:rPr>
        <w:fldChar w:fldCharType="begin"/>
      </w:r>
      <w:r w:rsidRPr="001C5550">
        <w:rPr>
          <w:rFonts w:ascii="Times New Roman" w:hAnsi="Times New Roman" w:cs="Times New Roman"/>
          <w:i w:val="0"/>
          <w:color w:val="auto"/>
          <w:sz w:val="24"/>
          <w:szCs w:val="24"/>
          <w:lang w:val="en-US"/>
        </w:rPr>
        <w:instrText xml:space="preserve"> SEQ Table_S \* ARABIC </w:instrText>
      </w:r>
      <w:r w:rsidRPr="001C5550">
        <w:rPr>
          <w:rFonts w:ascii="Times New Roman" w:hAnsi="Times New Roman" w:cs="Times New Roman"/>
          <w:i w:val="0"/>
          <w:color w:val="auto"/>
          <w:sz w:val="24"/>
          <w:szCs w:val="24"/>
          <w:lang w:val="en-US"/>
        </w:rPr>
        <w:fldChar w:fldCharType="separate"/>
      </w:r>
      <w:r w:rsidRPr="001C5550">
        <w:rPr>
          <w:rFonts w:ascii="Times New Roman" w:hAnsi="Times New Roman" w:cs="Times New Roman"/>
          <w:i w:val="0"/>
          <w:color w:val="auto"/>
          <w:sz w:val="24"/>
          <w:szCs w:val="24"/>
          <w:lang w:val="en-US"/>
        </w:rPr>
        <w:t>2</w:t>
      </w:r>
      <w:r w:rsidRPr="001C5550">
        <w:rPr>
          <w:rFonts w:ascii="Times New Roman" w:hAnsi="Times New Roman" w:cs="Times New Roman"/>
          <w:i w:val="0"/>
          <w:color w:val="auto"/>
          <w:sz w:val="24"/>
          <w:szCs w:val="24"/>
          <w:lang w:val="en-US"/>
        </w:rPr>
        <w:fldChar w:fldCharType="end"/>
      </w:r>
      <w:r w:rsidRPr="001C5550">
        <w:rPr>
          <w:rFonts w:ascii="Times New Roman" w:hAnsi="Times New Roman" w:cs="Times New Roman"/>
          <w:i w:val="0"/>
          <w:color w:val="auto"/>
          <w:sz w:val="24"/>
          <w:szCs w:val="24"/>
          <w:lang w:val="en-US"/>
        </w:rPr>
        <w:t>. Number of offspring produced per social mother in the different treatments. Output is given as both the number of day 15 and day 31 offspring, over all seasons. Values are estimated marginal means EMM, obtained from GLMMs on reproductive output, calculated separately for day 15 and day 31, with 95% CIs between brackets. The total number of social mothers over all seasons per treatment is given between brackets (n). Note that if a female survived multiple seasons, she is counted multiple times. Individuals without a developmental manipulation are not included.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1400"/>
        <w:gridCol w:w="1401"/>
        <w:gridCol w:w="1400"/>
        <w:gridCol w:w="1401"/>
      </w:tblGrid>
      <w:tr w:rsidR="0051673A" w:rsidRPr="000A4EE6" w:rsidTr="00F54EA9">
        <w:trPr>
          <w:trHeight w:val="288"/>
        </w:trPr>
        <w:tc>
          <w:tcPr>
            <w:tcW w:w="1618" w:type="dxa"/>
            <w:vMerge w:val="restart"/>
            <w:shd w:val="clear" w:color="auto" w:fill="BFBFBF" w:themeFill="background1" w:themeFillShade="BF"/>
            <w:vAlign w:val="center"/>
          </w:tcPr>
          <w:p w:rsidR="0051673A" w:rsidRPr="000A4EE6" w:rsidRDefault="0051673A" w:rsidP="00F54EA9">
            <w:pPr>
              <w:suppressAutoHyphens w:val="0"/>
              <w:jc w:val="center"/>
              <w:rPr>
                <w:rFonts w:cstheme="minorHAnsi"/>
                <w:b/>
              </w:rPr>
            </w:pPr>
          </w:p>
        </w:tc>
        <w:tc>
          <w:tcPr>
            <w:tcW w:w="2801" w:type="dxa"/>
            <w:gridSpan w:val="2"/>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Day 15</w:t>
            </w:r>
          </w:p>
        </w:tc>
        <w:tc>
          <w:tcPr>
            <w:tcW w:w="2801" w:type="dxa"/>
            <w:gridSpan w:val="2"/>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Day 31</w:t>
            </w:r>
          </w:p>
        </w:tc>
      </w:tr>
      <w:tr w:rsidR="0051673A" w:rsidRPr="000A4EE6" w:rsidTr="00F54EA9">
        <w:trPr>
          <w:trHeight w:val="288"/>
        </w:trPr>
        <w:tc>
          <w:tcPr>
            <w:tcW w:w="1618" w:type="dxa"/>
            <w:vMerge/>
            <w:shd w:val="clear" w:color="auto" w:fill="BFBFBF" w:themeFill="background1" w:themeFillShade="BF"/>
            <w:vAlign w:val="center"/>
          </w:tcPr>
          <w:p w:rsidR="0051673A" w:rsidRPr="000A4EE6" w:rsidRDefault="0051673A" w:rsidP="00F54EA9">
            <w:pPr>
              <w:suppressAutoHyphens w:val="0"/>
              <w:jc w:val="center"/>
              <w:rPr>
                <w:rFonts w:cstheme="minorHAnsi"/>
                <w:b/>
              </w:rPr>
            </w:pPr>
          </w:p>
        </w:tc>
        <w:tc>
          <w:tcPr>
            <w:tcW w:w="5602" w:type="dxa"/>
            <w:gridSpan w:val="4"/>
            <w:tcBorders>
              <w:top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Foraging treatment</w:t>
            </w:r>
          </w:p>
        </w:tc>
      </w:tr>
      <w:tr w:rsidR="0051673A" w:rsidRPr="000A4EE6" w:rsidTr="00F54EA9">
        <w:trPr>
          <w:trHeight w:val="613"/>
        </w:trPr>
        <w:tc>
          <w:tcPr>
            <w:tcW w:w="1618" w:type="dxa"/>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 xml:space="preserve">Developmental treatment </w:t>
            </w:r>
          </w:p>
        </w:tc>
        <w:tc>
          <w:tcPr>
            <w:tcW w:w="1400" w:type="dxa"/>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Benign</w:t>
            </w:r>
          </w:p>
        </w:tc>
        <w:tc>
          <w:tcPr>
            <w:tcW w:w="1401" w:type="dxa"/>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Harsh</w:t>
            </w:r>
          </w:p>
        </w:tc>
        <w:tc>
          <w:tcPr>
            <w:tcW w:w="1400" w:type="dxa"/>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Benign</w:t>
            </w:r>
          </w:p>
        </w:tc>
        <w:tc>
          <w:tcPr>
            <w:tcW w:w="1401" w:type="dxa"/>
            <w:tcBorders>
              <w:bottom w:val="single" w:sz="4" w:space="0" w:color="auto"/>
            </w:tcBorders>
            <w:shd w:val="clear" w:color="auto" w:fill="BFBFBF" w:themeFill="background1" w:themeFillShade="BF"/>
            <w:vAlign w:val="center"/>
          </w:tcPr>
          <w:p w:rsidR="0051673A" w:rsidRPr="000A4EE6" w:rsidRDefault="0051673A" w:rsidP="00F54EA9">
            <w:pPr>
              <w:suppressAutoHyphens w:val="0"/>
              <w:jc w:val="center"/>
              <w:rPr>
                <w:rFonts w:cstheme="minorHAnsi"/>
                <w:b/>
              </w:rPr>
            </w:pPr>
            <w:r w:rsidRPr="000A4EE6">
              <w:rPr>
                <w:rFonts w:cstheme="minorHAnsi"/>
                <w:b/>
              </w:rPr>
              <w:t>Harsh</w:t>
            </w:r>
          </w:p>
        </w:tc>
      </w:tr>
      <w:tr w:rsidR="0051673A" w:rsidRPr="000A4EE6" w:rsidTr="00F54EA9">
        <w:trPr>
          <w:trHeight w:val="867"/>
        </w:trPr>
        <w:tc>
          <w:tcPr>
            <w:tcW w:w="1618" w:type="dxa"/>
            <w:tcBorders>
              <w:top w:val="single" w:sz="4" w:space="0" w:color="auto"/>
              <w:bottom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rPr>
              <w:t>Benign</w:t>
            </w:r>
          </w:p>
        </w:tc>
        <w:tc>
          <w:tcPr>
            <w:tcW w:w="1400" w:type="dxa"/>
            <w:tcBorders>
              <w:top w:val="single" w:sz="4" w:space="0" w:color="auto"/>
              <w:bottom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3.54</w:t>
            </w:r>
          </w:p>
          <w:p w:rsidR="0051673A" w:rsidRPr="000A4EE6" w:rsidRDefault="0051673A" w:rsidP="00F54EA9">
            <w:pPr>
              <w:suppressAutoHyphens w:val="0"/>
              <w:jc w:val="center"/>
              <w:rPr>
                <w:rFonts w:cstheme="minorHAnsi"/>
              </w:rPr>
            </w:pPr>
            <w:r w:rsidRPr="000A4EE6">
              <w:rPr>
                <w:rFonts w:cstheme="minorHAnsi"/>
              </w:rPr>
              <w:t>(2.45, 5.10)</w:t>
            </w:r>
          </w:p>
          <w:p w:rsidR="0051673A" w:rsidRPr="000A4EE6" w:rsidRDefault="0051673A" w:rsidP="00F54EA9">
            <w:pPr>
              <w:suppressAutoHyphens w:val="0"/>
              <w:jc w:val="center"/>
              <w:rPr>
                <w:rFonts w:cstheme="minorHAnsi"/>
              </w:rPr>
            </w:pPr>
            <w:r w:rsidRPr="000A4EE6">
              <w:rPr>
                <w:rFonts w:cstheme="minorHAnsi"/>
              </w:rPr>
              <w:t>(n = 33)</w:t>
            </w:r>
          </w:p>
        </w:tc>
        <w:tc>
          <w:tcPr>
            <w:tcW w:w="1401" w:type="dxa"/>
            <w:tcBorders>
              <w:top w:val="single" w:sz="4" w:space="0" w:color="auto"/>
              <w:bottom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3.22</w:t>
            </w:r>
          </w:p>
          <w:p w:rsidR="0051673A" w:rsidRPr="000A4EE6" w:rsidRDefault="0051673A" w:rsidP="00F54EA9">
            <w:pPr>
              <w:suppressAutoHyphens w:val="0"/>
              <w:jc w:val="center"/>
              <w:rPr>
                <w:rFonts w:cstheme="minorHAnsi"/>
              </w:rPr>
            </w:pPr>
            <w:r w:rsidRPr="000A4EE6">
              <w:rPr>
                <w:rFonts w:cstheme="minorHAnsi"/>
              </w:rPr>
              <w:t>(2.25, 4.62)</w:t>
            </w:r>
          </w:p>
          <w:p w:rsidR="0051673A" w:rsidRPr="000A4EE6" w:rsidRDefault="0051673A" w:rsidP="00F54EA9">
            <w:pPr>
              <w:suppressAutoHyphens w:val="0"/>
              <w:jc w:val="center"/>
              <w:rPr>
                <w:rFonts w:cstheme="minorHAnsi"/>
              </w:rPr>
            </w:pPr>
            <w:r w:rsidRPr="000A4EE6">
              <w:rPr>
                <w:rFonts w:cstheme="minorHAnsi"/>
              </w:rPr>
              <w:t>(n = 34)</w:t>
            </w:r>
          </w:p>
        </w:tc>
        <w:tc>
          <w:tcPr>
            <w:tcW w:w="1400" w:type="dxa"/>
            <w:tcBorders>
              <w:top w:val="single" w:sz="4" w:space="0" w:color="auto"/>
              <w:bottom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1.53</w:t>
            </w:r>
          </w:p>
          <w:p w:rsidR="0051673A" w:rsidRPr="000A4EE6" w:rsidRDefault="0051673A" w:rsidP="00F54EA9">
            <w:pPr>
              <w:suppressAutoHyphens w:val="0"/>
              <w:jc w:val="center"/>
              <w:rPr>
                <w:rFonts w:cstheme="minorHAnsi"/>
              </w:rPr>
            </w:pPr>
            <w:r w:rsidRPr="000A4EE6">
              <w:rPr>
                <w:rFonts w:cstheme="minorHAnsi"/>
              </w:rPr>
              <w:t>(0.89, 2.63)</w:t>
            </w:r>
          </w:p>
        </w:tc>
        <w:tc>
          <w:tcPr>
            <w:tcW w:w="1401" w:type="dxa"/>
            <w:tcBorders>
              <w:top w:val="single" w:sz="4" w:space="0" w:color="auto"/>
              <w:bottom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1.05</w:t>
            </w:r>
          </w:p>
          <w:p w:rsidR="0051673A" w:rsidRPr="000A4EE6" w:rsidRDefault="0051673A" w:rsidP="00F54EA9">
            <w:pPr>
              <w:suppressAutoHyphens w:val="0"/>
              <w:jc w:val="center"/>
              <w:rPr>
                <w:rFonts w:cstheme="minorHAnsi"/>
              </w:rPr>
            </w:pPr>
            <w:r w:rsidRPr="000A4EE6">
              <w:rPr>
                <w:rFonts w:cstheme="minorHAnsi"/>
              </w:rPr>
              <w:t>(0.60, 1.87)</w:t>
            </w:r>
          </w:p>
        </w:tc>
      </w:tr>
      <w:tr w:rsidR="0051673A" w:rsidRPr="000A4EE6" w:rsidTr="00F54EA9">
        <w:trPr>
          <w:trHeight w:val="849"/>
        </w:trPr>
        <w:tc>
          <w:tcPr>
            <w:tcW w:w="1618" w:type="dxa"/>
            <w:tcBorders>
              <w:top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rPr>
              <w:t>Harsh</w:t>
            </w:r>
          </w:p>
        </w:tc>
        <w:tc>
          <w:tcPr>
            <w:tcW w:w="1400" w:type="dxa"/>
            <w:tcBorders>
              <w:top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3.37</w:t>
            </w:r>
          </w:p>
          <w:p w:rsidR="0051673A" w:rsidRPr="000A4EE6" w:rsidRDefault="0051673A" w:rsidP="00F54EA9">
            <w:pPr>
              <w:suppressAutoHyphens w:val="0"/>
              <w:jc w:val="center"/>
              <w:rPr>
                <w:rFonts w:cstheme="minorHAnsi"/>
              </w:rPr>
            </w:pPr>
            <w:r w:rsidRPr="000A4EE6">
              <w:rPr>
                <w:rFonts w:cstheme="minorHAnsi"/>
              </w:rPr>
              <w:t>(2.26, 5.02)</w:t>
            </w:r>
          </w:p>
          <w:p w:rsidR="0051673A" w:rsidRPr="000A4EE6" w:rsidRDefault="0051673A" w:rsidP="00F54EA9">
            <w:pPr>
              <w:suppressAutoHyphens w:val="0"/>
              <w:jc w:val="center"/>
              <w:rPr>
                <w:rFonts w:cstheme="minorHAnsi"/>
              </w:rPr>
            </w:pPr>
            <w:r w:rsidRPr="000A4EE6">
              <w:rPr>
                <w:rFonts w:cstheme="minorHAnsi"/>
              </w:rPr>
              <w:t>(n = 28)</w:t>
            </w:r>
          </w:p>
        </w:tc>
        <w:tc>
          <w:tcPr>
            <w:tcW w:w="1401" w:type="dxa"/>
            <w:tcBorders>
              <w:top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3.13</w:t>
            </w:r>
          </w:p>
          <w:p w:rsidR="0051673A" w:rsidRPr="000A4EE6" w:rsidRDefault="0051673A" w:rsidP="00F54EA9">
            <w:pPr>
              <w:suppressAutoHyphens w:val="0"/>
              <w:jc w:val="center"/>
              <w:rPr>
                <w:rFonts w:cstheme="minorHAnsi"/>
              </w:rPr>
            </w:pPr>
            <w:r w:rsidRPr="000A4EE6">
              <w:rPr>
                <w:rFonts w:cstheme="minorHAnsi"/>
              </w:rPr>
              <w:t>(1.79, 5.48)</w:t>
            </w:r>
          </w:p>
          <w:p w:rsidR="0051673A" w:rsidRPr="000A4EE6" w:rsidRDefault="0051673A" w:rsidP="00F54EA9">
            <w:pPr>
              <w:suppressAutoHyphens w:val="0"/>
              <w:jc w:val="center"/>
              <w:rPr>
                <w:rFonts w:cstheme="minorHAnsi"/>
              </w:rPr>
            </w:pPr>
            <w:r w:rsidRPr="000A4EE6">
              <w:rPr>
                <w:rFonts w:cstheme="minorHAnsi"/>
              </w:rPr>
              <w:t>(n = 20)</w:t>
            </w:r>
          </w:p>
        </w:tc>
        <w:tc>
          <w:tcPr>
            <w:tcW w:w="1400" w:type="dxa"/>
            <w:tcBorders>
              <w:top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1.58</w:t>
            </w:r>
          </w:p>
          <w:p w:rsidR="0051673A" w:rsidRPr="000A4EE6" w:rsidRDefault="0051673A" w:rsidP="00F54EA9">
            <w:pPr>
              <w:suppressAutoHyphens w:val="0"/>
              <w:jc w:val="center"/>
              <w:rPr>
                <w:rFonts w:cstheme="minorHAnsi"/>
              </w:rPr>
            </w:pPr>
            <w:r w:rsidRPr="000A4EE6">
              <w:rPr>
                <w:rFonts w:cstheme="minorHAnsi"/>
              </w:rPr>
              <w:t>(0.88, 2.83)</w:t>
            </w:r>
          </w:p>
        </w:tc>
        <w:tc>
          <w:tcPr>
            <w:tcW w:w="1401" w:type="dxa"/>
            <w:tcBorders>
              <w:top w:val="single" w:sz="4" w:space="0" w:color="auto"/>
            </w:tcBorders>
            <w:vAlign w:val="center"/>
          </w:tcPr>
          <w:p w:rsidR="0051673A" w:rsidRPr="000A4EE6" w:rsidRDefault="0051673A" w:rsidP="00F54EA9">
            <w:pPr>
              <w:suppressAutoHyphens w:val="0"/>
              <w:jc w:val="center"/>
              <w:rPr>
                <w:rFonts w:cstheme="minorHAnsi"/>
              </w:rPr>
            </w:pPr>
            <w:r w:rsidRPr="000A4EE6">
              <w:rPr>
                <w:rFonts w:cstheme="minorHAnsi"/>
                <w:b/>
                <w:bCs/>
              </w:rPr>
              <w:t>1.70</w:t>
            </w:r>
          </w:p>
          <w:p w:rsidR="0051673A" w:rsidRPr="000A4EE6" w:rsidRDefault="0051673A" w:rsidP="00F54EA9">
            <w:pPr>
              <w:suppressAutoHyphens w:val="0"/>
              <w:jc w:val="center"/>
              <w:rPr>
                <w:rFonts w:cstheme="minorHAnsi"/>
              </w:rPr>
            </w:pPr>
            <w:r w:rsidRPr="000A4EE6">
              <w:rPr>
                <w:rFonts w:cstheme="minorHAnsi"/>
              </w:rPr>
              <w:t>(0.77, 3.79)</w:t>
            </w:r>
          </w:p>
        </w:tc>
      </w:tr>
    </w:tbl>
    <w:p w:rsidR="0051673A" w:rsidRPr="005F46F2" w:rsidRDefault="0051673A" w:rsidP="0051673A">
      <w:pPr>
        <w:suppressAutoHyphens w:val="0"/>
        <w:rPr>
          <w:i/>
          <w:color w:val="44546A" w:themeColor="text2"/>
        </w:rPr>
      </w:pPr>
      <w:r w:rsidRPr="000A4EE6">
        <w:br w:type="page"/>
      </w:r>
    </w:p>
    <w:bookmarkEnd w:id="1"/>
    <w:bookmarkEnd w:id="2"/>
    <w:p w:rsidR="0051673A" w:rsidRPr="001C5550" w:rsidRDefault="0051673A" w:rsidP="0051673A">
      <w:pPr>
        <w:pStyle w:val="Caption"/>
        <w:keepNext/>
        <w:rPr>
          <w:rFonts w:ascii="Times New Roman" w:hAnsi="Times New Roman" w:cs="Times New Roman"/>
          <w:i w:val="0"/>
          <w:color w:val="auto"/>
          <w:sz w:val="24"/>
          <w:szCs w:val="24"/>
          <w:lang w:val="en-US"/>
        </w:rPr>
      </w:pPr>
      <w:r w:rsidRPr="001C5550">
        <w:rPr>
          <w:rFonts w:ascii="Times New Roman" w:hAnsi="Times New Roman" w:cs="Times New Roman"/>
          <w:i w:val="0"/>
          <w:color w:val="auto"/>
          <w:sz w:val="24"/>
          <w:szCs w:val="24"/>
          <w:lang w:val="en-US"/>
        </w:rPr>
        <w:lastRenderedPageBreak/>
        <w:t>Table S</w:t>
      </w:r>
      <w:r w:rsidRPr="001C5550">
        <w:rPr>
          <w:rFonts w:ascii="Times New Roman" w:hAnsi="Times New Roman" w:cs="Times New Roman"/>
          <w:i w:val="0"/>
          <w:color w:val="auto"/>
          <w:sz w:val="24"/>
          <w:szCs w:val="24"/>
          <w:lang w:val="en-US"/>
        </w:rPr>
        <w:fldChar w:fldCharType="begin"/>
      </w:r>
      <w:r w:rsidRPr="001C5550">
        <w:rPr>
          <w:rFonts w:ascii="Times New Roman" w:hAnsi="Times New Roman" w:cs="Times New Roman"/>
          <w:i w:val="0"/>
          <w:color w:val="auto"/>
          <w:sz w:val="24"/>
          <w:szCs w:val="24"/>
          <w:lang w:val="en-US"/>
        </w:rPr>
        <w:instrText xml:space="preserve"> SEQ Table_S \* ARABIC </w:instrText>
      </w:r>
      <w:r w:rsidRPr="001C5550">
        <w:rPr>
          <w:rFonts w:ascii="Times New Roman" w:hAnsi="Times New Roman" w:cs="Times New Roman"/>
          <w:i w:val="0"/>
          <w:color w:val="auto"/>
          <w:sz w:val="24"/>
          <w:szCs w:val="24"/>
          <w:lang w:val="en-US"/>
        </w:rPr>
        <w:fldChar w:fldCharType="separate"/>
      </w:r>
      <w:r w:rsidRPr="001C5550">
        <w:rPr>
          <w:rFonts w:ascii="Times New Roman" w:hAnsi="Times New Roman" w:cs="Times New Roman"/>
          <w:i w:val="0"/>
          <w:color w:val="auto"/>
          <w:sz w:val="24"/>
          <w:szCs w:val="24"/>
          <w:lang w:val="en-US"/>
        </w:rPr>
        <w:t>3</w:t>
      </w:r>
      <w:r w:rsidRPr="001C5550">
        <w:rPr>
          <w:rFonts w:ascii="Times New Roman" w:hAnsi="Times New Roman" w:cs="Times New Roman"/>
          <w:i w:val="0"/>
          <w:color w:val="auto"/>
          <w:sz w:val="24"/>
          <w:szCs w:val="24"/>
          <w:lang w:val="en-US"/>
        </w:rPr>
        <w:fldChar w:fldCharType="end"/>
      </w:r>
      <w:r w:rsidRPr="001C5550">
        <w:rPr>
          <w:rFonts w:ascii="Times New Roman" w:hAnsi="Times New Roman" w:cs="Times New Roman"/>
          <w:i w:val="0"/>
          <w:color w:val="auto"/>
          <w:sz w:val="24"/>
          <w:szCs w:val="24"/>
          <w:lang w:val="en-US"/>
        </w:rPr>
        <w:t xml:space="preserve"> Marginal effects of all predictors and interactions on offspring size at the age of 31 days. Treatments correspond to the treatment of the social mother. For each effect, the other predictors are kept at their median (continuous predictors) or averaged over levels (factors). For broodsize and its interaction with foraging treatment, the effects are given per unit increase in broodsize. </w:t>
      </w:r>
      <w:r w:rsidRPr="001C5550">
        <w:rPr>
          <w:rFonts w:ascii="Times New Roman" w:hAnsi="Times New Roman" w:cs="Times New Roman"/>
          <w:sz w:val="24"/>
          <w:szCs w:val="24"/>
          <w:lang w:val="en-US"/>
        </w:rPr>
        <w:t>p</w:t>
      </w:r>
      <w:r w:rsidRPr="001C5550">
        <w:rPr>
          <w:rFonts w:ascii="Times New Roman" w:hAnsi="Times New Roman" w:cs="Times New Roman"/>
          <w:sz w:val="24"/>
          <w:szCs w:val="24"/>
          <w:vertAlign w:val="subscript"/>
          <w:lang w:val="en-US"/>
        </w:rPr>
        <w:t>d</w:t>
      </w:r>
      <w:r w:rsidRPr="001C5550">
        <w:rPr>
          <w:rFonts w:ascii="Times New Roman" w:hAnsi="Times New Roman" w:cs="Times New Roman"/>
          <w:i w:val="0"/>
          <w:color w:val="auto"/>
          <w:sz w:val="24"/>
          <w:szCs w:val="24"/>
          <w:lang w:val="en-US"/>
        </w:rPr>
        <w:t xml:space="preserve"> values above 0.95 are gray-shaded and bold. Reduced LS (lifespan) indicates those mothers reared in large broods who subsequently bred in harsh foraging conditions.  </w:t>
      </w:r>
    </w:p>
    <w:tbl>
      <w:tblPr>
        <w:tblW w:w="10217" w:type="dxa"/>
        <w:tblCellMar>
          <w:left w:w="0" w:type="dxa"/>
          <w:right w:w="0" w:type="dxa"/>
        </w:tblCellMar>
        <w:tblLook w:val="0420" w:firstRow="1" w:lastRow="0" w:firstColumn="0" w:lastColumn="0" w:noHBand="0" w:noVBand="1"/>
      </w:tblPr>
      <w:tblGrid>
        <w:gridCol w:w="1583"/>
        <w:gridCol w:w="865"/>
        <w:gridCol w:w="1277"/>
        <w:gridCol w:w="872"/>
        <w:gridCol w:w="1278"/>
        <w:gridCol w:w="889"/>
        <w:gridCol w:w="1278"/>
        <w:gridCol w:w="897"/>
        <w:gridCol w:w="1278"/>
      </w:tblGrid>
      <w:tr w:rsidR="0051673A" w:rsidRPr="000A4EE6" w:rsidTr="00F54EA9">
        <w:trPr>
          <w:trHeight w:val="474"/>
        </w:trPr>
        <w:tc>
          <w:tcPr>
            <w:tcW w:w="1583" w:type="dxa"/>
            <w:tcBorders>
              <w:bottom w:val="single" w:sz="4" w:space="0" w:color="auto"/>
            </w:tcBorders>
            <w:shd w:val="clear" w:color="auto" w:fill="auto"/>
            <w:tcMar>
              <w:top w:w="72" w:type="dxa"/>
              <w:left w:w="144" w:type="dxa"/>
              <w:bottom w:w="72" w:type="dxa"/>
              <w:right w:w="144" w:type="dxa"/>
            </w:tcMar>
            <w:vAlign w:val="center"/>
            <w:hideMark/>
          </w:tcPr>
          <w:p w:rsidR="0051673A" w:rsidRPr="000A4EE6" w:rsidRDefault="0051673A" w:rsidP="00F54EA9">
            <w:pPr>
              <w:suppressAutoHyphens w:val="0"/>
              <w:spacing w:line="240" w:lineRule="auto"/>
              <w:rPr>
                <w:rFonts w:cstheme="minorHAnsi"/>
              </w:rPr>
            </w:pPr>
          </w:p>
        </w:tc>
        <w:tc>
          <w:tcPr>
            <w:tcW w:w="2142" w:type="dxa"/>
            <w:gridSpan w:val="2"/>
            <w:tcBorders>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Mass</w:t>
            </w:r>
          </w:p>
        </w:tc>
        <w:tc>
          <w:tcPr>
            <w:tcW w:w="2150" w:type="dxa"/>
            <w:gridSpan w:val="2"/>
            <w:tcBorders>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Wing</w:t>
            </w:r>
          </w:p>
        </w:tc>
        <w:tc>
          <w:tcPr>
            <w:tcW w:w="2167" w:type="dxa"/>
            <w:gridSpan w:val="2"/>
            <w:tcBorders>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Tarsus</w:t>
            </w:r>
          </w:p>
        </w:tc>
        <w:tc>
          <w:tcPr>
            <w:tcW w:w="2175" w:type="dxa"/>
            <w:gridSpan w:val="2"/>
            <w:tcBorders>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Headbill</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Predictor</w:t>
            </w:r>
          </w:p>
        </w:tc>
        <w:tc>
          <w:tcPr>
            <w:tcW w:w="865"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i/>
              </w:rPr>
              <w:t>p</w:t>
            </w:r>
            <w:r w:rsidRPr="005F46F2">
              <w:rPr>
                <w:vertAlign w:val="subscript"/>
              </w:rPr>
              <w:t>d</w:t>
            </w:r>
          </w:p>
        </w:tc>
        <w:tc>
          <w:tcPr>
            <w:tcW w:w="1277"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Posterior mean (95%CI)</w:t>
            </w:r>
          </w:p>
        </w:tc>
        <w:tc>
          <w:tcPr>
            <w:tcW w:w="872"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i/>
              </w:rPr>
              <w:t>p</w:t>
            </w:r>
            <w:r w:rsidRPr="005F46F2">
              <w:rPr>
                <w:vertAlign w:val="subscript"/>
              </w:rPr>
              <w:t>d</w:t>
            </w:r>
          </w:p>
        </w:tc>
        <w:tc>
          <w:tcPr>
            <w:tcW w:w="1278"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Posterior mean (95%CI)</w:t>
            </w:r>
          </w:p>
        </w:tc>
        <w:tc>
          <w:tcPr>
            <w:tcW w:w="889"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i/>
              </w:rPr>
              <w:t>p</w:t>
            </w:r>
            <w:r w:rsidRPr="005F46F2">
              <w:rPr>
                <w:vertAlign w:val="subscript"/>
              </w:rPr>
              <w:t>d</w:t>
            </w:r>
          </w:p>
        </w:tc>
        <w:tc>
          <w:tcPr>
            <w:tcW w:w="1278"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Posterior mean (95%CI)</w:t>
            </w:r>
          </w:p>
        </w:tc>
        <w:tc>
          <w:tcPr>
            <w:tcW w:w="897"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i/>
              </w:rPr>
              <w:t>p</w:t>
            </w:r>
            <w:r w:rsidRPr="005F46F2">
              <w:rPr>
                <w:vertAlign w:val="subscript"/>
              </w:rPr>
              <w:t>d</w:t>
            </w:r>
          </w:p>
        </w:tc>
        <w:tc>
          <w:tcPr>
            <w:tcW w:w="1278" w:type="dxa"/>
            <w:tcBorders>
              <w:top w:val="single" w:sz="4" w:space="0" w:color="auto"/>
              <w:bottom w:val="single" w:sz="4" w:space="0" w:color="auto"/>
            </w:tcBorders>
            <w:shd w:val="clear" w:color="auto" w:fill="auto"/>
            <w:tcMar>
              <w:top w:w="72" w:type="dxa"/>
              <w:left w:w="144" w:type="dxa"/>
              <w:bottom w:w="72" w:type="dxa"/>
              <w:right w:w="144" w:type="dxa"/>
            </w:tcMar>
            <w:vAlign w:val="center"/>
            <w:hideMark/>
          </w:tcPr>
          <w:p w:rsidR="0051673A" w:rsidRPr="005F46F2" w:rsidRDefault="0051673A" w:rsidP="00F54EA9">
            <w:pPr>
              <w:suppressAutoHyphens w:val="0"/>
              <w:spacing w:line="240" w:lineRule="auto"/>
            </w:pPr>
            <w:r w:rsidRPr="005F46F2">
              <w:rPr>
                <w:b/>
              </w:rPr>
              <w:t>Posterior mean (95%CI)</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5F46F2">
              <w:t>Developmental treatment</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0,7286</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-0,1295</w:t>
            </w:r>
            <w:r w:rsidRPr="005F46F2">
              <w:rPr>
                <w:rFonts w:ascii="Calibri" w:hAnsi="Calibri"/>
                <w:color w:val="000000"/>
                <w:lang w:val="en-US"/>
              </w:rPr>
              <w:br/>
              <w:t xml:space="preserve"> (-0,555, 0,2913)</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0,9192</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-0,2998</w:t>
            </w:r>
            <w:r w:rsidRPr="005F46F2">
              <w:rPr>
                <w:rFonts w:ascii="Calibri" w:hAnsi="Calibri"/>
                <w:color w:val="000000"/>
                <w:lang w:val="en-US"/>
              </w:rPr>
              <w:br/>
              <w:t xml:space="preserve"> (-0,7075, 0,133)</w:t>
            </w:r>
          </w:p>
        </w:tc>
        <w:tc>
          <w:tcPr>
            <w:tcW w:w="889"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b/>
                <w:color w:val="000000"/>
                <w:lang w:val="en-US"/>
              </w:rPr>
              <w:t>0,9687</w:t>
            </w:r>
          </w:p>
        </w:tc>
        <w:tc>
          <w:tcPr>
            <w:tcW w:w="1278"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b/>
                <w:color w:val="000000"/>
                <w:lang w:val="en-US"/>
              </w:rPr>
              <w:t>-0,4225</w:t>
            </w:r>
            <w:r w:rsidRPr="005F46F2">
              <w:rPr>
                <w:rFonts w:ascii="Calibri" w:hAnsi="Calibri"/>
                <w:b/>
                <w:color w:val="000000"/>
                <w:lang w:val="en-US"/>
              </w:rPr>
              <w:br/>
              <w:t xml:space="preserve"> (-0,8732, 0,0282)</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0,7746</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0,182</w:t>
            </w:r>
            <w:r w:rsidRPr="005F46F2">
              <w:rPr>
                <w:rFonts w:ascii="Calibri" w:hAnsi="Calibri"/>
                <w:color w:val="000000"/>
                <w:lang w:val="en-US"/>
              </w:rPr>
              <w:br/>
              <w:t xml:space="preserve"> (-0,2681, 0,6716)</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5F46F2">
              <w:t>Foraging treatment</w:t>
            </w:r>
          </w:p>
        </w:tc>
        <w:tc>
          <w:tcPr>
            <w:tcW w:w="865" w:type="dxa"/>
            <w:tcBorders>
              <w:top w:val="single" w:sz="4" w:space="0" w:color="auto"/>
              <w:bottom w:val="single" w:sz="4" w:space="0" w:color="auto"/>
            </w:tcBorders>
            <w:shd w:val="clear" w:color="auto" w:fill="E7E6E6" w:themeFill="background2"/>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b/>
                <w:color w:val="000000"/>
                <w:lang w:val="en-US"/>
              </w:rPr>
              <w:t>0,9802</w:t>
            </w:r>
          </w:p>
        </w:tc>
        <w:tc>
          <w:tcPr>
            <w:tcW w:w="1277" w:type="dxa"/>
            <w:tcBorders>
              <w:top w:val="single" w:sz="4" w:space="0" w:color="auto"/>
              <w:bottom w:val="single" w:sz="4" w:space="0" w:color="auto"/>
            </w:tcBorders>
            <w:shd w:val="clear" w:color="auto" w:fill="E7E6E6" w:themeFill="background2"/>
            <w:tcMar>
              <w:top w:w="15" w:type="dxa"/>
              <w:left w:w="15" w:type="dxa"/>
              <w:bottom w:w="0" w:type="dxa"/>
              <w:right w:w="15" w:type="dxa"/>
            </w:tcMar>
            <w:vAlign w:val="center"/>
            <w:hideMark/>
          </w:tcPr>
          <w:p w:rsidR="0051673A" w:rsidRPr="005F46F2" w:rsidRDefault="0051673A" w:rsidP="00F54EA9">
            <w:pPr>
              <w:pStyle w:val="NoSpacing"/>
              <w:jc w:val="center"/>
              <w:rPr>
                <w:rFonts w:ascii="Calibri" w:hAnsi="Calibri"/>
                <w:b/>
                <w:color w:val="000000"/>
                <w:lang w:val="en-US"/>
              </w:rPr>
            </w:pPr>
            <w:r w:rsidRPr="005F46F2">
              <w:rPr>
                <w:rFonts w:ascii="Calibri" w:hAnsi="Calibri"/>
                <w:b/>
                <w:color w:val="000000"/>
                <w:lang w:val="en-US"/>
              </w:rPr>
              <w:t>-0,6211</w:t>
            </w:r>
            <w:r w:rsidRPr="005F46F2">
              <w:rPr>
                <w:rFonts w:ascii="Calibri" w:hAnsi="Calibri"/>
                <w:b/>
                <w:color w:val="000000"/>
                <w:lang w:val="en-US"/>
              </w:rPr>
              <w:br/>
              <w:t xml:space="preserve"> (-1,2303, </w:t>
            </w:r>
          </w:p>
          <w:p w:rsidR="0051673A" w:rsidRPr="005F46F2" w:rsidRDefault="0051673A" w:rsidP="00F54EA9">
            <w:pPr>
              <w:pStyle w:val="NoSpacing"/>
              <w:jc w:val="center"/>
              <w:rPr>
                <w:b/>
                <w:lang w:val="en-US"/>
              </w:rPr>
            </w:pPr>
            <w:r w:rsidRPr="005F46F2">
              <w:rPr>
                <w:rFonts w:ascii="Calibri" w:hAnsi="Calibri"/>
                <w:b/>
                <w:color w:val="000000"/>
                <w:lang w:val="en-US"/>
              </w:rPr>
              <w:t>-0,0456)</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0,8216</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-0,2605</w:t>
            </w:r>
            <w:r w:rsidRPr="005F46F2">
              <w:rPr>
                <w:rFonts w:ascii="Calibri" w:hAnsi="Calibri"/>
                <w:color w:val="000000"/>
                <w:lang w:val="en-US"/>
              </w:rPr>
              <w:br/>
              <w:t xml:space="preserve"> (-0,7943, 0,3109)</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0,9426</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-0,508</w:t>
            </w:r>
            <w:r w:rsidRPr="005F46F2">
              <w:rPr>
                <w:rFonts w:ascii="Calibri" w:hAnsi="Calibri"/>
                <w:color w:val="000000"/>
                <w:lang w:val="en-US"/>
              </w:rPr>
              <w:br/>
              <w:t xml:space="preserve"> (-1,1267, 0,1194)</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0,5505</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-0,0403</w:t>
            </w:r>
            <w:r w:rsidRPr="005F46F2">
              <w:rPr>
                <w:rFonts w:ascii="Calibri" w:hAnsi="Calibri"/>
                <w:color w:val="000000"/>
                <w:lang w:val="en-US"/>
              </w:rPr>
              <w:br/>
              <w:t xml:space="preserve"> (-0,6443, 0,5751)</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0A4EE6">
              <w:t>Between-individual age</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0,5777</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0,0639</w:t>
            </w:r>
            <w:r w:rsidRPr="005F46F2">
              <w:rPr>
                <w:rFonts w:ascii="Calibri" w:hAnsi="Calibri"/>
                <w:color w:val="000000"/>
                <w:lang w:val="en-US"/>
              </w:rPr>
              <w:br/>
              <w:t xml:space="preserve"> (-0,5783, 0,7445)</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0,6085</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0,0819</w:t>
            </w:r>
            <w:r w:rsidRPr="005F46F2">
              <w:rPr>
                <w:rFonts w:ascii="Calibri" w:hAnsi="Calibri"/>
                <w:color w:val="000000"/>
                <w:lang w:val="en-US"/>
              </w:rPr>
              <w:br/>
              <w:t xml:space="preserve"> (-0,5572, 0,6793)</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0,7581</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0,2411</w:t>
            </w:r>
            <w:r w:rsidRPr="005F46F2">
              <w:rPr>
                <w:rFonts w:ascii="Calibri" w:hAnsi="Calibri"/>
                <w:color w:val="000000"/>
                <w:lang w:val="en-US"/>
              </w:rPr>
              <w:br/>
              <w:t xml:space="preserve"> (-0,4213, 0,9377)</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0,569</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-0,0551</w:t>
            </w:r>
            <w:r w:rsidRPr="005F46F2">
              <w:rPr>
                <w:rFonts w:ascii="Calibri" w:hAnsi="Calibri"/>
                <w:color w:val="000000"/>
                <w:lang w:val="en-US"/>
              </w:rPr>
              <w:br/>
              <w:t xml:space="preserve"> (-0,7137, 0,5933)</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0A4EE6">
              <w:t>Within-individual age</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0,8439</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-0,2545</w:t>
            </w:r>
            <w:r w:rsidRPr="005F46F2">
              <w:rPr>
                <w:rFonts w:ascii="Calibri" w:hAnsi="Calibri"/>
                <w:color w:val="000000"/>
                <w:lang w:val="en-US"/>
              </w:rPr>
              <w:br/>
              <w:t xml:space="preserve"> (-0,7269, 0,2101)</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0,5143</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0,0086</w:t>
            </w:r>
            <w:r w:rsidRPr="005F46F2">
              <w:rPr>
                <w:rFonts w:ascii="Calibri" w:hAnsi="Calibri"/>
                <w:color w:val="000000"/>
                <w:lang w:val="en-US"/>
              </w:rPr>
              <w:br/>
              <w:t xml:space="preserve"> (-0,4457, 0,4296)</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0,6141</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-0,0718</w:t>
            </w:r>
            <w:r w:rsidRPr="005F46F2">
              <w:rPr>
                <w:rFonts w:ascii="Calibri" w:hAnsi="Calibri"/>
                <w:color w:val="000000"/>
                <w:lang w:val="en-US"/>
              </w:rPr>
              <w:br/>
              <w:t xml:space="preserve"> (-0,5035, 0,3988)</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0,6137</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0,0602</w:t>
            </w:r>
            <w:r w:rsidRPr="005F46F2">
              <w:rPr>
                <w:rFonts w:ascii="Calibri" w:hAnsi="Calibri"/>
                <w:color w:val="000000"/>
                <w:lang w:val="en-US"/>
              </w:rPr>
              <w:br/>
              <w:t xml:space="preserve"> (-0,3271, 0,4277)</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5F46F2">
              <w:t>Broodsize</w:t>
            </w:r>
          </w:p>
        </w:tc>
        <w:tc>
          <w:tcPr>
            <w:tcW w:w="865"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b/>
                <w:color w:val="000000"/>
                <w:lang w:val="en-US"/>
              </w:rPr>
              <w:t>0,9969</w:t>
            </w:r>
          </w:p>
        </w:tc>
        <w:tc>
          <w:tcPr>
            <w:tcW w:w="1277"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rFonts w:ascii="Calibri" w:hAnsi="Calibri"/>
                <w:b/>
                <w:color w:val="000000"/>
                <w:lang w:val="en-US"/>
              </w:rPr>
            </w:pPr>
            <w:r w:rsidRPr="005F46F2">
              <w:rPr>
                <w:rFonts w:ascii="Calibri" w:hAnsi="Calibri"/>
                <w:b/>
                <w:color w:val="000000"/>
                <w:lang w:val="en-US"/>
              </w:rPr>
              <w:t>-0,1572</w:t>
            </w:r>
            <w:r w:rsidRPr="005F46F2">
              <w:rPr>
                <w:rFonts w:ascii="Calibri" w:hAnsi="Calibri"/>
                <w:b/>
                <w:color w:val="000000"/>
                <w:lang w:val="en-US"/>
              </w:rPr>
              <w:br/>
              <w:t xml:space="preserve"> (-0,2792, </w:t>
            </w:r>
          </w:p>
          <w:p w:rsidR="0051673A" w:rsidRPr="005F46F2" w:rsidRDefault="0051673A" w:rsidP="00F54EA9">
            <w:pPr>
              <w:pStyle w:val="NoSpacing"/>
              <w:jc w:val="center"/>
              <w:rPr>
                <w:b/>
                <w:lang w:val="en-US"/>
              </w:rPr>
            </w:pPr>
            <w:r w:rsidRPr="005F46F2">
              <w:rPr>
                <w:rFonts w:ascii="Calibri" w:hAnsi="Calibri"/>
                <w:b/>
                <w:color w:val="000000"/>
                <w:lang w:val="en-US"/>
              </w:rPr>
              <w:t>-0,0457)</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0,8678</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-0,0652</w:t>
            </w:r>
            <w:r w:rsidRPr="005F46F2">
              <w:rPr>
                <w:rFonts w:ascii="Calibri" w:hAnsi="Calibri"/>
                <w:color w:val="000000"/>
                <w:lang w:val="en-US"/>
              </w:rPr>
              <w:br/>
              <w:t xml:space="preserve"> (-0,1811, 0,047)</w:t>
            </w:r>
          </w:p>
        </w:tc>
        <w:tc>
          <w:tcPr>
            <w:tcW w:w="889"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b/>
                <w:color w:val="000000"/>
                <w:lang w:val="en-US"/>
              </w:rPr>
              <w:t>0,9956</w:t>
            </w:r>
          </w:p>
        </w:tc>
        <w:tc>
          <w:tcPr>
            <w:tcW w:w="1278"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rFonts w:ascii="Calibri" w:hAnsi="Calibri"/>
                <w:b/>
                <w:color w:val="000000"/>
                <w:lang w:val="en-US"/>
              </w:rPr>
            </w:pPr>
            <w:r w:rsidRPr="005F46F2">
              <w:rPr>
                <w:rFonts w:ascii="Calibri" w:hAnsi="Calibri"/>
                <w:b/>
                <w:color w:val="000000"/>
                <w:lang w:val="en-US"/>
              </w:rPr>
              <w:t>-0,1494</w:t>
            </w:r>
            <w:r w:rsidRPr="005F46F2">
              <w:rPr>
                <w:rFonts w:ascii="Calibri" w:hAnsi="Calibri"/>
                <w:b/>
                <w:color w:val="000000"/>
                <w:lang w:val="en-US"/>
              </w:rPr>
              <w:br/>
              <w:t xml:space="preserve"> (-0,2573, </w:t>
            </w:r>
          </w:p>
          <w:p w:rsidR="0051673A" w:rsidRPr="005F46F2" w:rsidRDefault="0051673A" w:rsidP="00F54EA9">
            <w:pPr>
              <w:pStyle w:val="NoSpacing"/>
              <w:jc w:val="center"/>
              <w:rPr>
                <w:b/>
                <w:lang w:val="en-US"/>
              </w:rPr>
            </w:pPr>
            <w:r w:rsidRPr="005F46F2">
              <w:rPr>
                <w:rFonts w:ascii="Calibri" w:hAnsi="Calibri"/>
                <w:b/>
                <w:color w:val="000000"/>
                <w:lang w:val="en-US"/>
              </w:rPr>
              <w:t>-0,039)</w:t>
            </w:r>
          </w:p>
        </w:tc>
        <w:tc>
          <w:tcPr>
            <w:tcW w:w="897"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b/>
                <w:color w:val="000000"/>
                <w:lang w:val="en-US"/>
              </w:rPr>
              <w:t>0,9935</w:t>
            </w:r>
          </w:p>
        </w:tc>
        <w:tc>
          <w:tcPr>
            <w:tcW w:w="1278" w:type="dxa"/>
            <w:tcBorders>
              <w:top w:val="single" w:sz="4" w:space="0" w:color="auto"/>
              <w:bottom w:val="single" w:sz="4" w:space="0" w:color="auto"/>
            </w:tcBorders>
            <w:shd w:val="clear" w:color="auto" w:fill="E7E6E6"/>
            <w:tcMar>
              <w:top w:w="15" w:type="dxa"/>
              <w:left w:w="15" w:type="dxa"/>
              <w:bottom w:w="0" w:type="dxa"/>
              <w:right w:w="15" w:type="dxa"/>
            </w:tcMar>
            <w:vAlign w:val="center"/>
            <w:hideMark/>
          </w:tcPr>
          <w:p w:rsidR="0051673A" w:rsidRPr="005F46F2" w:rsidRDefault="0051673A" w:rsidP="00F54EA9">
            <w:pPr>
              <w:pStyle w:val="NoSpacing"/>
              <w:jc w:val="center"/>
              <w:rPr>
                <w:rFonts w:ascii="Calibri" w:hAnsi="Calibri"/>
                <w:b/>
                <w:color w:val="000000"/>
                <w:lang w:val="en-US"/>
              </w:rPr>
            </w:pPr>
            <w:r w:rsidRPr="005F46F2">
              <w:rPr>
                <w:rFonts w:ascii="Calibri" w:hAnsi="Calibri"/>
                <w:b/>
                <w:color w:val="000000"/>
                <w:lang w:val="en-US"/>
              </w:rPr>
              <w:t>-0,134</w:t>
            </w:r>
            <w:r w:rsidRPr="005F46F2">
              <w:rPr>
                <w:rFonts w:ascii="Calibri" w:hAnsi="Calibri"/>
                <w:b/>
                <w:color w:val="000000"/>
                <w:lang w:val="en-US"/>
              </w:rPr>
              <w:br/>
              <w:t xml:space="preserve"> (-0,2386, </w:t>
            </w:r>
          </w:p>
          <w:p w:rsidR="0051673A" w:rsidRPr="005F46F2" w:rsidRDefault="0051673A" w:rsidP="00F54EA9">
            <w:pPr>
              <w:pStyle w:val="NoSpacing"/>
              <w:jc w:val="center"/>
              <w:rPr>
                <w:b/>
                <w:lang w:val="en-US"/>
              </w:rPr>
            </w:pPr>
            <w:r w:rsidRPr="005F46F2">
              <w:rPr>
                <w:rFonts w:ascii="Calibri" w:hAnsi="Calibri"/>
                <w:b/>
                <w:color w:val="000000"/>
                <w:lang w:val="en-US"/>
              </w:rPr>
              <w:t>-0,0296)</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5F46F2">
              <w:t>Reduced lifespan</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0,7174</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0,3065</w:t>
            </w:r>
            <w:r w:rsidRPr="005F46F2">
              <w:rPr>
                <w:rFonts w:ascii="Calibri" w:hAnsi="Calibri"/>
                <w:color w:val="000000"/>
                <w:lang w:val="en-US"/>
              </w:rPr>
              <w:br/>
              <w:t xml:space="preserve"> (-0,7, 1,3734)</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color w:val="000000"/>
                <w:lang w:val="en-US"/>
              </w:rPr>
              <w:t>0,9495</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0,8732</w:t>
            </w:r>
            <w:r w:rsidRPr="005F46F2">
              <w:rPr>
                <w:rFonts w:ascii="Calibri" w:hAnsi="Calibri"/>
                <w:color w:val="000000"/>
                <w:lang w:val="en-US"/>
              </w:rPr>
              <w:br/>
              <w:t xml:space="preserve"> (-0,1804, 1,8788)</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0,8373</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0,5435</w:t>
            </w:r>
            <w:r w:rsidRPr="005F46F2">
              <w:rPr>
                <w:rFonts w:ascii="Calibri" w:hAnsi="Calibri"/>
                <w:color w:val="000000"/>
                <w:lang w:val="en-US"/>
              </w:rPr>
              <w:br/>
              <w:t xml:space="preserve"> (-0,5624, 1,6226)</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0,5402</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-0,0537</w:t>
            </w:r>
            <w:r w:rsidRPr="005F46F2">
              <w:rPr>
                <w:rFonts w:ascii="Calibri" w:hAnsi="Calibri"/>
                <w:color w:val="000000"/>
                <w:lang w:val="en-US"/>
              </w:rPr>
              <w:br/>
              <w:t xml:space="preserve"> (-1,0699, 0,9777)</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suppressAutoHyphens w:val="0"/>
              <w:spacing w:line="240" w:lineRule="auto"/>
              <w:jc w:val="center"/>
            </w:pPr>
            <w:r w:rsidRPr="005F46F2">
              <w:t>Foraging treatment * broodsize</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color w:val="000000"/>
                <w:lang w:val="en-US"/>
              </w:rPr>
              <w:t>0,9272</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-0,1562</w:t>
            </w:r>
            <w:r w:rsidRPr="005F46F2">
              <w:rPr>
                <w:rFonts w:ascii="Calibri" w:hAnsi="Calibri"/>
                <w:color w:val="000000"/>
                <w:lang w:val="en-US"/>
              </w:rPr>
              <w:br/>
              <w:t xml:space="preserve"> (-0,3568, 0,0596)</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color w:val="000000"/>
                <w:lang w:val="en-US"/>
              </w:rPr>
              <w:t>0,9375</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-0,1566</w:t>
            </w:r>
            <w:r w:rsidRPr="005F46F2">
              <w:rPr>
                <w:rFonts w:ascii="Calibri" w:hAnsi="Calibri"/>
                <w:color w:val="000000"/>
                <w:lang w:val="en-US"/>
              </w:rPr>
              <w:br/>
              <w:t xml:space="preserve"> (-0,3603, 0,0339)</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0,551</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-0,0125</w:t>
            </w:r>
            <w:r w:rsidRPr="005F46F2">
              <w:rPr>
                <w:rFonts w:ascii="Calibri" w:hAnsi="Calibri"/>
                <w:color w:val="000000"/>
                <w:lang w:val="en-US"/>
              </w:rPr>
              <w:br/>
              <w:t xml:space="preserve"> (-0,2099, 0,1941)</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sz w:val="24"/>
                <w:lang w:val="en-US"/>
              </w:rPr>
            </w:pPr>
            <w:r w:rsidRPr="005F46F2">
              <w:rPr>
                <w:rFonts w:ascii="Calibri" w:hAnsi="Calibri"/>
                <w:color w:val="000000"/>
                <w:lang w:val="en-US"/>
              </w:rPr>
              <w:t>0,9177</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b/>
                <w:lang w:val="en-US"/>
              </w:rPr>
            </w:pPr>
            <w:r w:rsidRPr="005F46F2">
              <w:rPr>
                <w:rFonts w:ascii="Calibri" w:hAnsi="Calibri"/>
                <w:color w:val="000000"/>
                <w:lang w:val="en-US"/>
              </w:rPr>
              <w:t>-0,1342</w:t>
            </w:r>
            <w:r w:rsidRPr="005F46F2">
              <w:rPr>
                <w:rFonts w:ascii="Calibri" w:hAnsi="Calibri"/>
                <w:color w:val="000000"/>
                <w:lang w:val="en-US"/>
              </w:rPr>
              <w:br/>
              <w:t xml:space="preserve"> (-0,3263, 0,0546)</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0A4EE6" w:rsidRDefault="0051673A" w:rsidP="00F54EA9">
            <w:pPr>
              <w:suppressAutoHyphens w:val="0"/>
              <w:spacing w:line="240" w:lineRule="auto"/>
              <w:jc w:val="center"/>
              <w:rPr>
                <w:rFonts w:cstheme="minorHAnsi"/>
              </w:rPr>
            </w:pPr>
            <w:r w:rsidRPr="000A4EE6">
              <w:rPr>
                <w:rFonts w:cstheme="minorHAnsi"/>
              </w:rPr>
              <w:t xml:space="preserve">Reduced lifespan * </w:t>
            </w:r>
            <w:r w:rsidRPr="000A4EE6">
              <w:t>Between-individual age</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0,5879</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0,123</w:t>
            </w:r>
            <w:r w:rsidRPr="005F46F2">
              <w:rPr>
                <w:rFonts w:ascii="Calibri" w:hAnsi="Calibri"/>
                <w:color w:val="000000"/>
                <w:lang w:val="en-US"/>
              </w:rPr>
              <w:br/>
              <w:t xml:space="preserve"> (-0,9965, 1,1842)</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0,8065</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0,4774</w:t>
            </w:r>
            <w:r w:rsidRPr="005F46F2">
              <w:rPr>
                <w:rFonts w:ascii="Calibri" w:hAnsi="Calibri"/>
                <w:color w:val="000000"/>
                <w:lang w:val="en-US"/>
              </w:rPr>
              <w:br/>
              <w:t xml:space="preserve"> (-0,6276, 1,5413)</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0,5531</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0,0891</w:t>
            </w:r>
            <w:r w:rsidRPr="005F46F2">
              <w:rPr>
                <w:rFonts w:ascii="Calibri" w:hAnsi="Calibri"/>
                <w:color w:val="000000"/>
                <w:lang w:val="en-US"/>
              </w:rPr>
              <w:br/>
              <w:t xml:space="preserve"> (-1,0488, 1,2536)</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0,5996</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0,1401</w:t>
            </w:r>
            <w:r w:rsidRPr="005F46F2">
              <w:rPr>
                <w:rFonts w:ascii="Calibri" w:hAnsi="Calibri"/>
                <w:color w:val="000000"/>
                <w:lang w:val="en-US"/>
              </w:rPr>
              <w:br/>
              <w:t xml:space="preserve"> (-0,9331, 1,1802)</w:t>
            </w:r>
          </w:p>
        </w:tc>
      </w:tr>
      <w:tr w:rsidR="0051673A" w:rsidRPr="000A4EE6" w:rsidTr="00F54EA9">
        <w:trPr>
          <w:trHeight w:val="474"/>
        </w:trPr>
        <w:tc>
          <w:tcPr>
            <w:tcW w:w="1583"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0A4EE6" w:rsidRDefault="0051673A" w:rsidP="00F54EA9">
            <w:pPr>
              <w:suppressAutoHyphens w:val="0"/>
              <w:spacing w:line="240" w:lineRule="auto"/>
              <w:jc w:val="center"/>
              <w:rPr>
                <w:rFonts w:cstheme="minorHAnsi"/>
              </w:rPr>
            </w:pPr>
            <w:r w:rsidRPr="000A4EE6">
              <w:rPr>
                <w:rFonts w:cstheme="minorHAnsi"/>
              </w:rPr>
              <w:t xml:space="preserve">Reduced lifespan * </w:t>
            </w:r>
            <w:r w:rsidRPr="000A4EE6">
              <w:t>Within-individual age</w:t>
            </w:r>
          </w:p>
        </w:tc>
        <w:tc>
          <w:tcPr>
            <w:tcW w:w="865"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0,6817</w:t>
            </w:r>
          </w:p>
        </w:tc>
        <w:tc>
          <w:tcPr>
            <w:tcW w:w="127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-0,1884</w:t>
            </w:r>
            <w:r w:rsidRPr="005F46F2">
              <w:rPr>
                <w:rFonts w:ascii="Calibri" w:hAnsi="Calibri"/>
                <w:color w:val="000000"/>
                <w:lang w:val="en-US"/>
              </w:rPr>
              <w:br/>
              <w:t xml:space="preserve"> (-0,9825, 0,6124)</w:t>
            </w:r>
          </w:p>
        </w:tc>
        <w:tc>
          <w:tcPr>
            <w:tcW w:w="872"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0,5491</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-0,0471</w:t>
            </w:r>
            <w:r w:rsidRPr="005F46F2">
              <w:rPr>
                <w:rFonts w:ascii="Calibri" w:hAnsi="Calibri"/>
                <w:color w:val="000000"/>
                <w:lang w:val="en-US"/>
              </w:rPr>
              <w:br/>
              <w:t xml:space="preserve"> (-0,8278, 0,7087)</w:t>
            </w:r>
          </w:p>
        </w:tc>
        <w:tc>
          <w:tcPr>
            <w:tcW w:w="889"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0,7962</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-0,3027</w:t>
            </w:r>
            <w:r w:rsidRPr="005F46F2">
              <w:rPr>
                <w:rFonts w:ascii="Calibri" w:hAnsi="Calibri"/>
                <w:color w:val="000000"/>
                <w:lang w:val="en-US"/>
              </w:rPr>
              <w:br/>
              <w:t xml:space="preserve"> (-1,0031, 0,4292)</w:t>
            </w:r>
          </w:p>
        </w:tc>
        <w:tc>
          <w:tcPr>
            <w:tcW w:w="897"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sz w:val="24"/>
                <w:lang w:val="en-US"/>
              </w:rPr>
            </w:pPr>
            <w:r w:rsidRPr="005F46F2">
              <w:rPr>
                <w:rFonts w:ascii="Calibri" w:hAnsi="Calibri"/>
                <w:color w:val="000000"/>
                <w:lang w:val="en-US"/>
              </w:rPr>
              <w:t>0,5553</w:t>
            </w:r>
          </w:p>
        </w:tc>
        <w:tc>
          <w:tcPr>
            <w:tcW w:w="1278" w:type="dxa"/>
            <w:tcBorders>
              <w:top w:val="single" w:sz="4" w:space="0" w:color="auto"/>
              <w:bottom w:val="single" w:sz="4" w:space="0" w:color="auto"/>
            </w:tcBorders>
            <w:shd w:val="clear" w:color="auto" w:fill="auto"/>
            <w:tcMar>
              <w:top w:w="15" w:type="dxa"/>
              <w:left w:w="15" w:type="dxa"/>
              <w:bottom w:w="0" w:type="dxa"/>
              <w:right w:w="15" w:type="dxa"/>
            </w:tcMar>
            <w:vAlign w:val="center"/>
            <w:hideMark/>
          </w:tcPr>
          <w:p w:rsidR="0051673A" w:rsidRPr="005F46F2" w:rsidRDefault="0051673A" w:rsidP="00F54EA9">
            <w:pPr>
              <w:pStyle w:val="NoSpacing"/>
              <w:jc w:val="center"/>
              <w:rPr>
                <w:lang w:val="en-US"/>
              </w:rPr>
            </w:pPr>
            <w:r w:rsidRPr="005F46F2">
              <w:rPr>
                <w:rFonts w:ascii="Calibri" w:hAnsi="Calibri"/>
                <w:color w:val="000000"/>
                <w:lang w:val="en-US"/>
              </w:rPr>
              <w:t>-0,0432</w:t>
            </w:r>
            <w:r w:rsidRPr="005F46F2">
              <w:rPr>
                <w:rFonts w:ascii="Calibri" w:hAnsi="Calibri"/>
                <w:color w:val="000000"/>
                <w:lang w:val="en-US"/>
              </w:rPr>
              <w:br/>
              <w:t xml:space="preserve"> (-0,7211, 0,5882)</w:t>
            </w:r>
          </w:p>
        </w:tc>
      </w:tr>
    </w:tbl>
    <w:p w:rsidR="0051673A" w:rsidRPr="000A4EE6" w:rsidRDefault="0051673A" w:rsidP="0051673A">
      <w:pPr>
        <w:suppressAutoHyphens w:val="0"/>
        <w:rPr>
          <w:rFonts w:cstheme="minorHAnsi"/>
        </w:rPr>
      </w:pPr>
    </w:p>
    <w:p w:rsidR="0051673A" w:rsidRPr="000A4EE6" w:rsidRDefault="0051673A" w:rsidP="0051673A">
      <w:pPr>
        <w:suppressAutoHyphens w:val="0"/>
        <w:rPr>
          <w:rFonts w:cstheme="minorHAnsi"/>
          <w:b/>
        </w:rPr>
      </w:pPr>
    </w:p>
    <w:p w:rsidR="0051673A" w:rsidRPr="000A4EE6" w:rsidRDefault="0051673A" w:rsidP="0051673A">
      <w:pPr>
        <w:suppressAutoHyphens w:val="0"/>
        <w:rPr>
          <w:rFonts w:cstheme="minorHAnsi"/>
          <w:b/>
        </w:rPr>
      </w:pPr>
    </w:p>
    <w:p w:rsidR="0051673A" w:rsidRPr="000A4EE6" w:rsidRDefault="0051673A" w:rsidP="0051673A">
      <w:pPr>
        <w:suppressAutoHyphens w:val="0"/>
        <w:rPr>
          <w:rFonts w:cstheme="minorHAnsi"/>
          <w:b/>
        </w:rPr>
      </w:pPr>
      <w:r w:rsidRPr="000A4EE6">
        <w:rPr>
          <w:rFonts w:cstheme="minorHAnsi"/>
          <w:b/>
        </w:rPr>
        <w:br w:type="page"/>
      </w:r>
      <w:r w:rsidRPr="000A4EE6">
        <w:rPr>
          <w:rFonts w:cstheme="minorHAnsi"/>
          <w:b/>
        </w:rPr>
        <w:lastRenderedPageBreak/>
        <w:t>Supplemental figures</w:t>
      </w:r>
    </w:p>
    <w:p w:rsidR="0051673A" w:rsidRPr="000A4EE6" w:rsidRDefault="0051673A" w:rsidP="0051673A">
      <w:pPr>
        <w:keepNext/>
        <w:suppressAutoHyphens w:val="0"/>
      </w:pPr>
      <w:r w:rsidRPr="000A4EE6">
        <w:rPr>
          <w:noProof/>
          <w:lang w:val="nl-NL" w:eastAsia="nl-NL"/>
        </w:rPr>
        <w:drawing>
          <wp:inline distT="0" distB="0" distL="0" distR="0" wp14:anchorId="02D509E5" wp14:editId="41E9580E">
            <wp:extent cx="5759450" cy="429592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9450" cy="4295928"/>
                    </a:xfrm>
                    <a:prstGeom prst="rect">
                      <a:avLst/>
                    </a:prstGeom>
                    <a:noFill/>
                  </pic:spPr>
                </pic:pic>
              </a:graphicData>
            </a:graphic>
          </wp:inline>
        </w:drawing>
      </w:r>
    </w:p>
    <w:p w:rsidR="0051673A" w:rsidRPr="005F46F2" w:rsidRDefault="0051673A" w:rsidP="0051673A">
      <w:pPr>
        <w:pStyle w:val="Caption"/>
        <w:rPr>
          <w:i w:val="0"/>
          <w:sz w:val="22"/>
          <w:lang w:val="en-US"/>
        </w:rPr>
      </w:pPr>
      <w:r w:rsidRPr="005F46F2">
        <w:rPr>
          <w:i w:val="0"/>
          <w:sz w:val="22"/>
          <w:lang w:val="en-US"/>
        </w:rPr>
        <w:t>Figure S</w:t>
      </w:r>
      <w:r w:rsidRPr="005F46F2">
        <w:rPr>
          <w:i w:val="0"/>
          <w:sz w:val="22"/>
          <w:lang w:val="en-US"/>
        </w:rPr>
        <w:fldChar w:fldCharType="begin"/>
      </w:r>
      <w:r w:rsidRPr="005F46F2">
        <w:rPr>
          <w:i w:val="0"/>
          <w:sz w:val="22"/>
          <w:lang w:val="en-US"/>
        </w:rPr>
        <w:instrText xml:space="preserve"> SEQ Figure_S \* ARABIC </w:instrText>
      </w:r>
      <w:r w:rsidRPr="005F46F2">
        <w:rPr>
          <w:i w:val="0"/>
          <w:sz w:val="22"/>
          <w:lang w:val="en-US"/>
        </w:rPr>
        <w:fldChar w:fldCharType="separate"/>
      </w:r>
      <w:r w:rsidRPr="005F46F2">
        <w:rPr>
          <w:i w:val="0"/>
          <w:sz w:val="22"/>
          <w:lang w:val="en-US"/>
        </w:rPr>
        <w:t>1</w:t>
      </w:r>
      <w:r w:rsidRPr="005F46F2">
        <w:rPr>
          <w:i w:val="0"/>
          <w:sz w:val="22"/>
          <w:lang w:val="en-US"/>
        </w:rPr>
        <w:fldChar w:fldCharType="end"/>
      </w:r>
      <w:r w:rsidRPr="005F46F2">
        <w:rPr>
          <w:i w:val="0"/>
          <w:sz w:val="22"/>
          <w:lang w:val="en-US"/>
        </w:rPr>
        <w:t xml:space="preserve"> Offspring raised to the age of 31 days per social mother present. (A) Number of offspring is given as the mean + s.d., per season (B) Number of offspring is given as the estimated marginal mean square and the 95% confidence interval over all breeding seasons. Means and intervals </w:t>
      </w:r>
      <w:r w:rsidRPr="000A4EE6">
        <w:rPr>
          <w:i w:val="0"/>
          <w:sz w:val="22"/>
          <w:szCs w:val="22"/>
          <w:lang w:val="en-US"/>
        </w:rPr>
        <w:t>are back-transformed from the log scale. Note that the axes are on a different scale.</w:t>
      </w:r>
    </w:p>
    <w:p w:rsidR="0051673A" w:rsidRPr="000A4EE6" w:rsidRDefault="0051673A" w:rsidP="0051673A">
      <w:pPr>
        <w:suppressAutoHyphens w:val="0"/>
        <w:rPr>
          <w:rFonts w:cstheme="minorHAnsi"/>
          <w:b/>
        </w:rPr>
      </w:pPr>
    </w:p>
    <w:p w:rsidR="0051673A" w:rsidRPr="000A4EE6" w:rsidRDefault="0051673A" w:rsidP="0051673A">
      <w:pPr>
        <w:suppressAutoHyphens w:val="0"/>
      </w:pPr>
      <w:r w:rsidRPr="000A4EE6">
        <w:rPr>
          <w:noProof/>
          <w:lang w:val="nl-NL" w:eastAsia="nl-NL"/>
        </w:rPr>
        <w:lastRenderedPageBreak/>
        <w:drawing>
          <wp:inline distT="0" distB="0" distL="0" distR="0" wp14:anchorId="2FE3DDF7" wp14:editId="53C72525">
            <wp:extent cx="5759450" cy="4295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9450" cy="4295775"/>
                    </a:xfrm>
                    <a:prstGeom prst="rect">
                      <a:avLst/>
                    </a:prstGeom>
                    <a:noFill/>
                  </pic:spPr>
                </pic:pic>
              </a:graphicData>
            </a:graphic>
          </wp:inline>
        </w:drawing>
      </w:r>
    </w:p>
    <w:p w:rsidR="0051673A" w:rsidRPr="005F46F2" w:rsidRDefault="0051673A" w:rsidP="0051673A">
      <w:pPr>
        <w:pStyle w:val="Caption"/>
        <w:rPr>
          <w:i w:val="0"/>
          <w:sz w:val="28"/>
          <w:lang w:val="en-US"/>
        </w:rPr>
      </w:pPr>
      <w:bookmarkStart w:id="3" w:name="_Ref82593650"/>
      <w:r w:rsidRPr="005F46F2">
        <w:rPr>
          <w:i w:val="0"/>
          <w:color w:val="auto"/>
          <w:sz w:val="22"/>
          <w:lang w:val="en-US"/>
        </w:rPr>
        <w:t>Figure S</w:t>
      </w:r>
      <w:r w:rsidRPr="005F46F2">
        <w:rPr>
          <w:i w:val="0"/>
          <w:color w:val="auto"/>
          <w:sz w:val="22"/>
          <w:lang w:val="en-US"/>
        </w:rPr>
        <w:fldChar w:fldCharType="begin"/>
      </w:r>
      <w:r w:rsidRPr="005F46F2">
        <w:rPr>
          <w:i w:val="0"/>
          <w:color w:val="auto"/>
          <w:sz w:val="22"/>
          <w:lang w:val="en-US"/>
        </w:rPr>
        <w:instrText xml:space="preserve"> SEQ Figure_S \* ARABIC </w:instrText>
      </w:r>
      <w:r w:rsidRPr="005F46F2">
        <w:rPr>
          <w:i w:val="0"/>
          <w:color w:val="auto"/>
          <w:sz w:val="22"/>
          <w:lang w:val="en-US"/>
        </w:rPr>
        <w:fldChar w:fldCharType="separate"/>
      </w:r>
      <w:r w:rsidRPr="005F46F2">
        <w:rPr>
          <w:i w:val="0"/>
          <w:color w:val="auto"/>
          <w:sz w:val="22"/>
          <w:lang w:val="en-US"/>
        </w:rPr>
        <w:t>2</w:t>
      </w:r>
      <w:r w:rsidRPr="005F46F2">
        <w:rPr>
          <w:i w:val="0"/>
          <w:color w:val="auto"/>
          <w:sz w:val="22"/>
          <w:lang w:val="en-US"/>
        </w:rPr>
        <w:fldChar w:fldCharType="end"/>
      </w:r>
      <w:bookmarkEnd w:id="3"/>
      <w:r w:rsidRPr="005F46F2">
        <w:rPr>
          <w:i w:val="0"/>
          <w:color w:val="auto"/>
          <w:sz w:val="22"/>
          <w:lang w:val="en-US"/>
        </w:rPr>
        <w:t xml:space="preserve">. </w:t>
      </w:r>
      <w:r w:rsidRPr="005F46F2">
        <w:rPr>
          <w:b/>
          <w:i w:val="0"/>
          <w:color w:val="auto"/>
          <w:sz w:val="22"/>
          <w:lang w:val="en-US"/>
        </w:rPr>
        <w:t xml:space="preserve">No evidence for a relation between the within-individual increase of maternal age and offspring raised to the age of 15 (±1) days. </w:t>
      </w:r>
      <w:r w:rsidRPr="005F46F2">
        <w:rPr>
          <w:i w:val="0"/>
          <w:color w:val="auto"/>
          <w:sz w:val="22"/>
          <w:lang w:val="en-US"/>
        </w:rPr>
        <w:t>Offspring raised is given per female per breeding season. Age is given as the deviation in age per breeding season to the mean age over all breeding seasons. The black line is a smoother with poisson distribution, with S.E. in grey shading</w:t>
      </w:r>
      <w:r w:rsidRPr="005F46F2">
        <w:rPr>
          <w:b/>
          <w:lang w:val="en-US"/>
        </w:rPr>
        <w:br w:type="page"/>
      </w:r>
    </w:p>
    <w:p w:rsidR="0051673A" w:rsidRPr="000A4EE6" w:rsidRDefault="0051673A" w:rsidP="0051673A">
      <w:pPr>
        <w:suppressAutoHyphens w:val="0"/>
        <w:rPr>
          <w:rFonts w:cstheme="minorHAnsi"/>
          <w:b/>
        </w:rPr>
      </w:pPr>
    </w:p>
    <w:p w:rsidR="0051673A" w:rsidRPr="000A4EE6" w:rsidRDefault="0051673A" w:rsidP="0051673A">
      <w:pPr>
        <w:keepNext/>
        <w:suppressAutoHyphens w:val="0"/>
      </w:pPr>
      <w:r w:rsidRPr="000A4EE6">
        <w:rPr>
          <w:rFonts w:cstheme="minorHAnsi"/>
          <w:b/>
          <w:noProof/>
          <w:lang w:val="nl-NL" w:eastAsia="nl-NL"/>
        </w:rPr>
        <w:drawing>
          <wp:inline distT="0" distB="0" distL="0" distR="0" wp14:anchorId="19E8E32C" wp14:editId="165FC396">
            <wp:extent cx="5759450" cy="4295928"/>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0" cy="4295928"/>
                    </a:xfrm>
                    <a:prstGeom prst="rect">
                      <a:avLst/>
                    </a:prstGeom>
                    <a:noFill/>
                  </pic:spPr>
                </pic:pic>
              </a:graphicData>
            </a:graphic>
          </wp:inline>
        </w:drawing>
      </w:r>
    </w:p>
    <w:p w:rsidR="0051673A" w:rsidRPr="005F46F2" w:rsidRDefault="0051673A" w:rsidP="0051673A">
      <w:pPr>
        <w:pStyle w:val="Caption"/>
        <w:rPr>
          <w:i w:val="0"/>
          <w:color w:val="auto"/>
          <w:sz w:val="22"/>
          <w:lang w:val="en-US"/>
        </w:rPr>
      </w:pPr>
      <w:bookmarkStart w:id="4" w:name="_Ref82593683"/>
      <w:r w:rsidRPr="005F46F2">
        <w:rPr>
          <w:i w:val="0"/>
          <w:color w:val="auto"/>
          <w:sz w:val="22"/>
          <w:lang w:val="en-US"/>
        </w:rPr>
        <w:t>Figure S</w:t>
      </w:r>
      <w:r w:rsidRPr="005F46F2">
        <w:rPr>
          <w:i w:val="0"/>
          <w:color w:val="auto"/>
          <w:sz w:val="22"/>
          <w:lang w:val="en-US"/>
        </w:rPr>
        <w:fldChar w:fldCharType="begin"/>
      </w:r>
      <w:r w:rsidRPr="005F46F2">
        <w:rPr>
          <w:i w:val="0"/>
          <w:color w:val="auto"/>
          <w:sz w:val="22"/>
          <w:lang w:val="en-US"/>
        </w:rPr>
        <w:instrText xml:space="preserve"> SEQ Figure_S \* ARABIC </w:instrText>
      </w:r>
      <w:r w:rsidRPr="005F46F2">
        <w:rPr>
          <w:i w:val="0"/>
          <w:color w:val="auto"/>
          <w:sz w:val="22"/>
          <w:lang w:val="en-US"/>
        </w:rPr>
        <w:fldChar w:fldCharType="separate"/>
      </w:r>
      <w:r w:rsidRPr="005F46F2">
        <w:rPr>
          <w:i w:val="0"/>
          <w:color w:val="auto"/>
          <w:sz w:val="22"/>
          <w:lang w:val="en-US"/>
        </w:rPr>
        <w:t>3</w:t>
      </w:r>
      <w:r w:rsidRPr="005F46F2">
        <w:rPr>
          <w:i w:val="0"/>
          <w:color w:val="auto"/>
          <w:sz w:val="22"/>
          <w:lang w:val="en-US"/>
        </w:rPr>
        <w:fldChar w:fldCharType="end"/>
      </w:r>
      <w:bookmarkStart w:id="5" w:name="_Ref67910282"/>
      <w:bookmarkEnd w:id="4"/>
      <w:r w:rsidRPr="005F46F2">
        <w:rPr>
          <w:i w:val="0"/>
          <w:color w:val="auto"/>
          <w:sz w:val="22"/>
          <w:lang w:val="en-US"/>
        </w:rPr>
        <w:t>.</w:t>
      </w:r>
      <w:r w:rsidRPr="005F46F2">
        <w:rPr>
          <w:b/>
          <w:i w:val="0"/>
          <w:color w:val="auto"/>
          <w:sz w:val="22"/>
          <w:lang w:val="en-US"/>
        </w:rPr>
        <w:t xml:space="preserve"> Weak evidence for a negative relation between the within-individual increase of maternal age and offspring raised to the age of 31 (±1) days.</w:t>
      </w:r>
      <w:r w:rsidRPr="005F46F2">
        <w:rPr>
          <w:i w:val="0"/>
          <w:color w:val="auto"/>
          <w:sz w:val="22"/>
          <w:lang w:val="en-US"/>
        </w:rPr>
        <w:t xml:space="preserve"> </w:t>
      </w:r>
      <w:bookmarkEnd w:id="5"/>
      <w:r w:rsidRPr="005F46F2">
        <w:rPr>
          <w:i w:val="0"/>
          <w:color w:val="auto"/>
          <w:sz w:val="22"/>
          <w:lang w:val="en-US"/>
        </w:rPr>
        <w:t>Offspring raised is given per female per breeding season. Age is given as the deviation in age per breeding season to the mean age over all breeding seasons. The black line is a smoother with poisson distribution, with S.E. in grey shading</w:t>
      </w:r>
    </w:p>
    <w:p w:rsidR="0051673A" w:rsidRPr="005F46F2" w:rsidRDefault="0051673A" w:rsidP="0051673A">
      <w:pPr>
        <w:suppressAutoHyphens w:val="0"/>
      </w:pPr>
      <w:r w:rsidRPr="000A4EE6">
        <w:rPr>
          <w:i/>
        </w:rPr>
        <w:br w:type="page"/>
      </w:r>
    </w:p>
    <w:p w:rsidR="0051673A" w:rsidRPr="005F46F2" w:rsidRDefault="0051673A" w:rsidP="0051673A">
      <w:pPr>
        <w:pStyle w:val="Caption"/>
        <w:rPr>
          <w:b/>
          <w:i w:val="0"/>
          <w:sz w:val="22"/>
          <w:lang w:val="en-US"/>
        </w:rPr>
      </w:pPr>
    </w:p>
    <w:p w:rsidR="0051673A" w:rsidRPr="000A4EE6" w:rsidRDefault="0051673A" w:rsidP="0051673A">
      <w:pPr>
        <w:keepNext/>
        <w:suppressAutoHyphens w:val="0"/>
      </w:pPr>
      <w:r w:rsidRPr="000A4EE6">
        <w:rPr>
          <w:noProof/>
          <w:lang w:val="nl-NL" w:eastAsia="nl-NL"/>
        </w:rPr>
        <w:drawing>
          <wp:inline distT="0" distB="0" distL="0" distR="0" wp14:anchorId="72DF1899" wp14:editId="73BF8DE1">
            <wp:extent cx="5759450" cy="4076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V RS - SI fig 4 biom FT 3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4076700"/>
                    </a:xfrm>
                    <a:prstGeom prst="rect">
                      <a:avLst/>
                    </a:prstGeom>
                  </pic:spPr>
                </pic:pic>
              </a:graphicData>
            </a:graphic>
          </wp:inline>
        </w:drawing>
      </w:r>
    </w:p>
    <w:p w:rsidR="0051673A" w:rsidRPr="005F46F2" w:rsidRDefault="0051673A" w:rsidP="0051673A">
      <w:pPr>
        <w:pStyle w:val="NoSpacing"/>
        <w:rPr>
          <w:lang w:val="en-US"/>
        </w:rPr>
      </w:pPr>
      <w:bookmarkStart w:id="6" w:name="_Ref82593785"/>
      <w:r w:rsidRPr="005F46F2">
        <w:rPr>
          <w:lang w:val="en-US"/>
        </w:rPr>
        <w:t>Figure S</w:t>
      </w:r>
      <w:r w:rsidRPr="005F46F2">
        <w:rPr>
          <w:lang w:val="en-US"/>
        </w:rPr>
        <w:fldChar w:fldCharType="begin"/>
      </w:r>
      <w:r w:rsidRPr="005F46F2">
        <w:rPr>
          <w:lang w:val="en-US"/>
        </w:rPr>
        <w:instrText xml:space="preserve"> SEQ Figure_S \* ARABIC </w:instrText>
      </w:r>
      <w:r w:rsidRPr="005F46F2">
        <w:rPr>
          <w:lang w:val="en-US"/>
        </w:rPr>
        <w:fldChar w:fldCharType="separate"/>
      </w:r>
      <w:r w:rsidRPr="005F46F2">
        <w:rPr>
          <w:lang w:val="en-US"/>
        </w:rPr>
        <w:t>4</w:t>
      </w:r>
      <w:r w:rsidRPr="005F46F2">
        <w:rPr>
          <w:lang w:val="en-US"/>
        </w:rPr>
        <w:fldChar w:fldCharType="end"/>
      </w:r>
      <w:bookmarkEnd w:id="6"/>
      <w:r w:rsidRPr="005F46F2">
        <w:rPr>
          <w:lang w:val="en-US"/>
        </w:rPr>
        <w:t>.</w:t>
      </w:r>
      <w:r w:rsidRPr="005F46F2">
        <w:rPr>
          <w:i/>
          <w:lang w:val="en-US"/>
        </w:rPr>
        <w:t xml:space="preserve"> </w:t>
      </w:r>
      <w:r w:rsidRPr="005F46F2">
        <w:rPr>
          <w:b/>
          <w:lang w:val="en-US"/>
        </w:rPr>
        <w:t>Foraging environment negatively affects offspring growth at the age of 31 (±1) days</w:t>
      </w:r>
      <w:r w:rsidRPr="005F46F2">
        <w:rPr>
          <w:lang w:val="en-US"/>
        </w:rPr>
        <w:t>. The number of offspring are 153 from the benign foraging, and 66 from the harsh foraging environment. Boxplots show A) Mass, B) Wing length, C) Tarsus length, and D) Head-bill length. All measures are standardized (mean = 0, s.d. = 1). The boxplots correspond to the interquartile range, where the solid line represents the median, and the dotted line the mean</w:t>
      </w:r>
      <w:r w:rsidRPr="005F46F2">
        <w:rPr>
          <w:b/>
          <w:lang w:val="en-US"/>
        </w:rPr>
        <w:br w:type="page"/>
      </w:r>
    </w:p>
    <w:p w:rsidR="0051673A" w:rsidRPr="000A4EE6" w:rsidRDefault="0051673A" w:rsidP="0051673A">
      <w:pPr>
        <w:keepNext/>
        <w:suppressAutoHyphens w:val="0"/>
      </w:pPr>
      <w:r w:rsidRPr="000A4EE6">
        <w:rPr>
          <w:noProof/>
          <w:lang w:val="nl-NL" w:eastAsia="nl-NL"/>
        </w:rPr>
        <w:lastRenderedPageBreak/>
        <w:drawing>
          <wp:inline distT="0" distB="0" distL="0" distR="0" wp14:anchorId="16B2EAF3" wp14:editId="68EC29A4">
            <wp:extent cx="5759450" cy="33502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ZV RS - SI fig 5 biom BS.FT day 3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3350260"/>
                    </a:xfrm>
                    <a:prstGeom prst="rect">
                      <a:avLst/>
                    </a:prstGeom>
                  </pic:spPr>
                </pic:pic>
              </a:graphicData>
            </a:graphic>
          </wp:inline>
        </w:drawing>
      </w:r>
    </w:p>
    <w:p w:rsidR="0051673A" w:rsidRPr="000116B1" w:rsidRDefault="0051673A" w:rsidP="0051673A">
      <w:pPr>
        <w:pStyle w:val="Caption"/>
        <w:rPr>
          <w:i w:val="0"/>
          <w:color w:val="auto"/>
          <w:sz w:val="22"/>
          <w:lang w:val="en-US"/>
        </w:rPr>
      </w:pPr>
      <w:r w:rsidRPr="001C12E7">
        <w:rPr>
          <w:i w:val="0"/>
          <w:color w:val="auto"/>
          <w:sz w:val="22"/>
          <w:lang w:val="en-US"/>
        </w:rPr>
        <w:t>Figure S</w:t>
      </w:r>
      <w:r w:rsidRPr="001C12E7">
        <w:rPr>
          <w:i w:val="0"/>
          <w:color w:val="auto"/>
          <w:sz w:val="22"/>
          <w:lang w:val="en-US"/>
        </w:rPr>
        <w:fldChar w:fldCharType="begin"/>
      </w:r>
      <w:r w:rsidRPr="001C12E7">
        <w:rPr>
          <w:i w:val="0"/>
          <w:color w:val="auto"/>
          <w:sz w:val="22"/>
          <w:lang w:val="en-US"/>
        </w:rPr>
        <w:instrText xml:space="preserve"> SEQ Figure_S \* ARABIC </w:instrText>
      </w:r>
      <w:r w:rsidRPr="001C12E7">
        <w:rPr>
          <w:i w:val="0"/>
          <w:color w:val="auto"/>
          <w:sz w:val="22"/>
          <w:lang w:val="en-US"/>
        </w:rPr>
        <w:fldChar w:fldCharType="separate"/>
      </w:r>
      <w:r w:rsidRPr="001C12E7">
        <w:rPr>
          <w:i w:val="0"/>
          <w:color w:val="auto"/>
          <w:sz w:val="22"/>
          <w:lang w:val="en-US"/>
        </w:rPr>
        <w:t>5</w:t>
      </w:r>
      <w:r w:rsidRPr="001C12E7">
        <w:rPr>
          <w:i w:val="0"/>
          <w:color w:val="auto"/>
          <w:sz w:val="22"/>
          <w:lang w:val="en-US"/>
        </w:rPr>
        <w:fldChar w:fldCharType="end"/>
      </w:r>
      <w:r w:rsidRPr="001C12E7">
        <w:rPr>
          <w:i w:val="0"/>
          <w:color w:val="auto"/>
          <w:sz w:val="22"/>
          <w:lang w:val="en-US"/>
        </w:rPr>
        <w:t xml:space="preserve">. </w:t>
      </w:r>
      <w:r w:rsidRPr="001C12E7">
        <w:rPr>
          <w:b/>
          <w:i w:val="0"/>
          <w:color w:val="auto"/>
          <w:sz w:val="22"/>
          <w:lang w:val="en-US"/>
        </w:rPr>
        <w:t>Growing up in larger broods negatively affects offspring growth, but does not depend on the foraging environment.</w:t>
      </w:r>
      <w:r w:rsidRPr="001C12E7">
        <w:rPr>
          <w:i w:val="0"/>
          <w:color w:val="auto"/>
          <w:sz w:val="22"/>
          <w:lang w:val="en-US"/>
        </w:rPr>
        <w:t xml:space="preserve"> Biometric values of the offspring at the age of 31 (±1) days from the breeding seasons 2018-2020. (A) Mass, (B) Wing length, (C) Tarsus length and (D) Head-bill length. All measures are standardized (mean = 0, s.d. = 1 Sample sizes, respectively for broods of 1, 2, 3, 4, and 5 chicks, are 17, 51, 79, 59 and 13. The black line is a linear smoother, with the S.E. in grey shading. Dashed lines and open points represent individuals from the benign foraging treatment, solid lines and closed points represent those from harsh. The interaction between broodsize and foraging treatment was not significant for any biometric value.</w:t>
      </w:r>
    </w:p>
    <w:p w:rsidR="001314EF" w:rsidRDefault="001314EF"/>
    <w:sectPr w:rsidR="001314EF" w:rsidSect="00506F98">
      <w:pgSz w:w="11906" w:h="16838" w:code="9"/>
      <w:pgMar w:top="1418" w:right="1418" w:bottom="1418" w:left="1418" w:header="709" w:footer="709" w:gutter="0"/>
      <w:lnNumType w:countBy="1" w:restart="continuous"/>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3A"/>
    <w:rsid w:val="001314EF"/>
    <w:rsid w:val="00432A6D"/>
    <w:rsid w:val="0051673A"/>
    <w:rsid w:val="006A7C81"/>
    <w:rsid w:val="006F79A6"/>
    <w:rsid w:val="00722F52"/>
    <w:rsid w:val="00965EDD"/>
    <w:rsid w:val="00A20E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A4CC0"/>
  <w15:chartTrackingRefBased/>
  <w15:docId w15:val="{2B8F3749-337D-4881-8042-EF1306297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73A"/>
    <w:pPr>
      <w:suppressAutoHyphens/>
    </w:pPr>
    <w:rPr>
      <w:lang w:val="en-US"/>
    </w:rPr>
  </w:style>
  <w:style w:type="paragraph" w:styleId="Heading2">
    <w:name w:val="heading 2"/>
    <w:basedOn w:val="Normal"/>
    <w:next w:val="Normal"/>
    <w:link w:val="Heading2Char"/>
    <w:uiPriority w:val="9"/>
    <w:unhideWhenUsed/>
    <w:qFormat/>
    <w:rsid w:val="0051673A"/>
    <w:pPr>
      <w:keepNext/>
      <w:keepLines/>
      <w:suppressAutoHyphens w:val="0"/>
      <w:spacing w:before="40" w:after="0"/>
      <w:outlineLvl w:val="1"/>
    </w:pPr>
    <w:rPr>
      <w:rFonts w:asciiTheme="majorHAnsi" w:eastAsiaTheme="majorEastAsia" w:hAnsiTheme="majorHAnsi" w:cstheme="majorBidi"/>
      <w:color w:val="2E74B5"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673A"/>
    <w:rPr>
      <w:rFonts w:asciiTheme="majorHAnsi" w:eastAsiaTheme="majorEastAsia" w:hAnsiTheme="majorHAnsi" w:cstheme="majorBidi"/>
      <w:color w:val="2E74B5" w:themeColor="accent1" w:themeShade="BF"/>
      <w:sz w:val="26"/>
      <w:szCs w:val="26"/>
      <w:lang w:val="en-GB"/>
    </w:rPr>
  </w:style>
  <w:style w:type="paragraph" w:styleId="NoSpacing">
    <w:name w:val="No Spacing"/>
    <w:uiPriority w:val="1"/>
    <w:qFormat/>
    <w:rsid w:val="0051673A"/>
    <w:pPr>
      <w:spacing w:after="0" w:line="240" w:lineRule="auto"/>
    </w:pPr>
    <w:rPr>
      <w:lang w:val="en-GB"/>
    </w:rPr>
  </w:style>
  <w:style w:type="paragraph" w:styleId="Caption">
    <w:name w:val="caption"/>
    <w:basedOn w:val="Normal"/>
    <w:next w:val="Normal"/>
    <w:uiPriority w:val="35"/>
    <w:unhideWhenUsed/>
    <w:qFormat/>
    <w:rsid w:val="0051673A"/>
    <w:pPr>
      <w:suppressAutoHyphens w:val="0"/>
      <w:spacing w:after="200" w:line="240" w:lineRule="auto"/>
    </w:pPr>
    <w:rPr>
      <w:i/>
      <w:iCs/>
      <w:color w:val="44546A" w:themeColor="text2"/>
      <w:sz w:val="18"/>
      <w:szCs w:val="18"/>
      <w:lang w:val="en-GB"/>
    </w:rPr>
  </w:style>
  <w:style w:type="table" w:styleId="TableGrid">
    <w:name w:val="Table Grid"/>
    <w:basedOn w:val="TableNormal"/>
    <w:uiPriority w:val="39"/>
    <w:rsid w:val="00516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516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78990-DB32-4711-81CE-F552E7D2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4148</Words>
  <Characters>22817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Yoran Gerritsma</dc:creator>
  <cp:keywords/>
  <dc:description/>
  <cp:lastModifiedBy>Yoran Gerritsma</cp:lastModifiedBy>
  <cp:revision>1</cp:revision>
  <dcterms:created xsi:type="dcterms:W3CDTF">2021-11-12T09:12:00Z</dcterms:created>
  <dcterms:modified xsi:type="dcterms:W3CDTF">2021-11-12T09:13:00Z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http://www.zotero.org/styles/animal-behaviour</vt:lpwstr>
  </property>
  <property fmtid="{D5CDD505-2E9C-101B-9397-08002B2CF9AE}" pid="9" name="Mendeley Recent Style Name 3_1">
    <vt:lpwstr>Animal Behaviour</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https://csl.mendeley.com/styles/476021711/Harvard-YORAN-new</vt:lpwstr>
  </property>
  <property fmtid="{D5CDD505-2E9C-101B-9397-08002B2CF9AE}" pid="13" name="Mendeley Recent Style Name 5_1">
    <vt:lpwstr>Cite Them Right 10th edition - Harvard - Yoran Gerritsma NEW</vt:lpwstr>
  </property>
  <property fmtid="{D5CDD505-2E9C-101B-9397-08002B2CF9AE}" pid="14" name="Mendeley Recent Style Id 6_1">
    <vt:lpwstr>http://csl.mendeley.com/styles/476021711/WERKT-DIT</vt:lpwstr>
  </property>
  <property fmtid="{D5CDD505-2E9C-101B-9397-08002B2CF9AE}" pid="15" name="Mendeley Recent Style Name 6_1">
    <vt:lpwstr>Harvard - Yoran Gerritsma</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https://csl.mendeley.com/styles/476021711/WERKT-DIT</vt:lpwstr>
  </property>
  <property fmtid="{D5CDD505-2E9C-101B-9397-08002B2CF9AE}" pid="21" name="Mendeley Recent Style Name 9_1">
    <vt:lpwstr>WERKT DIT</vt:lpwstr>
  </property>
  <property fmtid="{D5CDD505-2E9C-101B-9397-08002B2CF9AE}" pid="22" name="Mendeley Document_1">
    <vt:lpwstr>True</vt:lpwstr>
  </property>
  <property fmtid="{D5CDD505-2E9C-101B-9397-08002B2CF9AE}" pid="23" name="Mendeley Unique User Id_1">
    <vt:lpwstr>fd3cde70-b838-3820-a22c-cd875c621db9</vt:lpwstr>
  </property>
  <property fmtid="{D5CDD505-2E9C-101B-9397-08002B2CF9AE}" pid="24" name="Mendeley Citation Style_1">
    <vt:lpwstr>http://www.zotero.org/styles/animal-behaviour</vt:lpwstr>
  </property>
</Properties>
</file>